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6C318F">
        <w:trPr>
          <w:trHeight w:val="852"/>
          <w:jc w:val="center"/>
        </w:trPr>
        <w:tc>
          <w:tcPr>
            <w:tcW w:w="6940"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bookmarkStart w:id="0" w:name="_Hlk145068772"/>
            <w:r w:rsidRPr="00B57B36">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47EF826C"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VOL.</w:t>
            </w:r>
            <w:r w:rsidR="00785BF9">
              <w:rPr>
                <w:rFonts w:cs="Arial"/>
                <w:b/>
                <w:bCs/>
                <w:i/>
                <w:iCs/>
                <w:color w:val="000066"/>
                <w:sz w:val="22"/>
                <w:szCs w:val="22"/>
                <w:lang w:eastAsia="it-IT"/>
              </w:rPr>
              <w:t xml:space="preserve"> </w:t>
            </w:r>
            <w:r w:rsidR="00994C6A">
              <w:rPr>
                <w:rFonts w:cs="Arial"/>
                <w:b/>
                <w:bCs/>
                <w:i/>
                <w:iCs/>
                <w:color w:val="000066"/>
                <w:sz w:val="22"/>
                <w:szCs w:val="22"/>
                <w:lang w:eastAsia="it-IT"/>
              </w:rPr>
              <w:t>xxx</w:t>
            </w:r>
            <w:r w:rsidR="007B48F9">
              <w:rPr>
                <w:rFonts w:cs="Arial"/>
                <w:b/>
                <w:bCs/>
                <w:i/>
                <w:iCs/>
                <w:color w:val="000066"/>
                <w:sz w:val="22"/>
                <w:szCs w:val="22"/>
                <w:lang w:eastAsia="it-IT"/>
              </w:rPr>
              <w:t>,</w:t>
            </w:r>
            <w:r w:rsidR="00FA5F5F">
              <w:rPr>
                <w:rFonts w:cs="Arial"/>
                <w:b/>
                <w:bCs/>
                <w:i/>
                <w:iCs/>
                <w:color w:val="000066"/>
                <w:sz w:val="22"/>
                <w:szCs w:val="22"/>
                <w:lang w:eastAsia="it-IT"/>
              </w:rPr>
              <w:t xml:space="preserve"> </w:t>
            </w:r>
            <w:r w:rsidR="0030152C">
              <w:rPr>
                <w:rFonts w:cs="Arial"/>
                <w:b/>
                <w:bCs/>
                <w:i/>
                <w:iCs/>
                <w:color w:val="000066"/>
                <w:sz w:val="22"/>
                <w:szCs w:val="22"/>
                <w:lang w:eastAsia="it-IT"/>
              </w:rPr>
              <w:t>202</w:t>
            </w:r>
            <w:r w:rsidR="00994C6A">
              <w:rPr>
                <w:rFonts w:cs="Arial"/>
                <w:b/>
                <w:bCs/>
                <w:i/>
                <w:iCs/>
                <w:color w:val="000066"/>
                <w:sz w:val="22"/>
                <w:szCs w:val="22"/>
                <w:lang w:eastAsia="it-IT"/>
              </w:rPr>
              <w:t>5</w:t>
            </w:r>
          </w:p>
        </w:tc>
        <w:tc>
          <w:tcPr>
            <w:tcW w:w="1842"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6C318F">
        <w:trPr>
          <w:trHeight w:val="567"/>
          <w:jc w:val="center"/>
        </w:trPr>
        <w:tc>
          <w:tcPr>
            <w:tcW w:w="6940" w:type="dxa"/>
            <w:vMerge/>
            <w:tcBorders>
              <w:right w:val="single" w:sz="4" w:space="0" w:color="auto"/>
            </w:tcBorders>
          </w:tcPr>
          <w:p w14:paraId="39E5E4C1" w14:textId="77777777" w:rsidR="000A03B2" w:rsidRPr="00B57B36" w:rsidRDefault="000A03B2" w:rsidP="00CD5FE2">
            <w:pPr>
              <w:tabs>
                <w:tab w:val="left" w:pos="-108"/>
              </w:tabs>
            </w:pPr>
          </w:p>
        </w:tc>
        <w:tc>
          <w:tcPr>
            <w:tcW w:w="1842"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6C318F">
        <w:trPr>
          <w:trHeight w:val="68"/>
          <w:jc w:val="center"/>
        </w:trPr>
        <w:tc>
          <w:tcPr>
            <w:tcW w:w="8782" w:type="dxa"/>
            <w:gridSpan w:val="2"/>
          </w:tcPr>
          <w:p w14:paraId="1D8DD3C9" w14:textId="025D7B18" w:rsidR="00AA7D26" w:rsidRPr="007D610D" w:rsidRDefault="00AA7D26" w:rsidP="007D610D">
            <w:pPr>
              <w:ind w:left="-107"/>
              <w:outlineLvl w:val="2"/>
              <w:rPr>
                <w:rFonts w:ascii="Tahoma" w:hAnsi="Tahoma" w:cs="Tahoma"/>
                <w:color w:val="000000"/>
                <w:sz w:val="14"/>
                <w:szCs w:val="14"/>
                <w:shd w:val="clear" w:color="auto" w:fill="FFFFFF"/>
                <w:lang w:val="it-IT"/>
              </w:rPr>
            </w:pPr>
            <w:r w:rsidRPr="007D610D">
              <w:rPr>
                <w:rFonts w:ascii="Tahoma" w:hAnsi="Tahoma" w:cs="Tahoma"/>
                <w:iCs/>
                <w:color w:val="333333"/>
                <w:sz w:val="14"/>
                <w:szCs w:val="14"/>
                <w:lang w:val="it-IT" w:eastAsia="it-IT"/>
              </w:rPr>
              <w:t>Guest Editors:</w:t>
            </w:r>
            <w:r w:rsidR="007D610D" w:rsidRPr="007D610D">
              <w:rPr>
                <w:rFonts w:ascii="Aptos" w:eastAsiaTheme="minorHAnsi" w:hAnsi="Aptos" w:cs="Aptos"/>
                <w:sz w:val="22"/>
                <w:szCs w:val="22"/>
                <w:lang w:val="it-IT"/>
                <w14:ligatures w14:val="standardContextual"/>
              </w:rPr>
              <w:t xml:space="preserve"> </w:t>
            </w:r>
            <w:r w:rsidR="007D610D" w:rsidRPr="007D610D">
              <w:rPr>
                <w:rFonts w:ascii="Tahoma" w:hAnsi="Tahoma" w:cs="Tahoma"/>
                <w:color w:val="000000"/>
                <w:sz w:val="14"/>
                <w:szCs w:val="14"/>
                <w:shd w:val="clear" w:color="auto" w:fill="FFFFFF"/>
                <w:lang w:val="it-IT"/>
              </w:rPr>
              <w:t xml:space="preserve">Fabrizio Bezzo, </w:t>
            </w:r>
            <w:r w:rsidR="001D3D32">
              <w:rPr>
                <w:rFonts w:ascii="Tahoma" w:hAnsi="Tahoma" w:cs="Tahoma"/>
                <w:color w:val="000000"/>
                <w:sz w:val="14"/>
                <w:szCs w:val="14"/>
                <w:shd w:val="clear" w:color="auto" w:fill="FFFFFF"/>
                <w:lang w:val="it-IT"/>
              </w:rPr>
              <w:t>Flavio Manenti</w:t>
            </w:r>
            <w:r w:rsidR="00304CE8">
              <w:rPr>
                <w:rFonts w:ascii="Tahoma" w:hAnsi="Tahoma" w:cs="Tahoma"/>
                <w:color w:val="000000"/>
                <w:sz w:val="14"/>
                <w:szCs w:val="14"/>
                <w:shd w:val="clear" w:color="auto" w:fill="FFFFFF"/>
                <w:lang w:val="it-IT"/>
              </w:rPr>
              <w:t>,</w:t>
            </w:r>
            <w:r w:rsidR="001D3D32">
              <w:rPr>
                <w:rFonts w:ascii="Tahoma" w:hAnsi="Tahoma" w:cs="Tahoma"/>
                <w:color w:val="000000"/>
                <w:sz w:val="14"/>
                <w:szCs w:val="14"/>
                <w:shd w:val="clear" w:color="auto" w:fill="FFFFFF"/>
                <w:lang w:val="it-IT"/>
              </w:rPr>
              <w:t xml:space="preserve"> </w:t>
            </w:r>
            <w:r w:rsidR="007D610D" w:rsidRPr="007D610D">
              <w:rPr>
                <w:rFonts w:ascii="Tahoma" w:hAnsi="Tahoma" w:cs="Tahoma"/>
                <w:color w:val="000000"/>
                <w:sz w:val="14"/>
                <w:szCs w:val="14"/>
                <w:shd w:val="clear" w:color="auto" w:fill="FFFFFF"/>
                <w:lang w:val="it-IT"/>
              </w:rPr>
              <w:t>Gabriele Pannocchia, Almerinda di Benedetto</w:t>
            </w:r>
          </w:p>
          <w:p w14:paraId="1B0F1814" w14:textId="7C54DC3A"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w:t>
            </w:r>
            <w:r w:rsidR="00994C6A">
              <w:rPr>
                <w:rFonts w:ascii="Tahoma" w:hAnsi="Tahoma" w:cs="Tahoma"/>
                <w:iCs/>
                <w:color w:val="333333"/>
                <w:sz w:val="14"/>
                <w:szCs w:val="14"/>
                <w:lang w:eastAsia="it-IT"/>
              </w:rPr>
              <w:t>5</w:t>
            </w:r>
            <w:r w:rsidRPr="00B57B36">
              <w:rPr>
                <w:rFonts w:ascii="Tahoma" w:hAnsi="Tahoma" w:cs="Tahoma"/>
                <w:iCs/>
                <w:color w:val="333333"/>
                <w:sz w:val="14"/>
                <w:szCs w:val="14"/>
                <w:lang w:eastAsia="it-IT"/>
              </w:rPr>
              <w:t xml:space="preserve">, AIDIC </w:t>
            </w:r>
            <w:proofErr w:type="spellStart"/>
            <w:r w:rsidRPr="00B57B36">
              <w:rPr>
                <w:rFonts w:ascii="Tahoma" w:hAnsi="Tahoma" w:cs="Tahoma"/>
                <w:iCs/>
                <w:color w:val="333333"/>
                <w:sz w:val="14"/>
                <w:szCs w:val="14"/>
                <w:lang w:eastAsia="it-IT"/>
              </w:rPr>
              <w:t>Servizi</w:t>
            </w:r>
            <w:proofErr w:type="spellEnd"/>
            <w:r w:rsidRPr="00B57B36">
              <w:rPr>
                <w:rFonts w:ascii="Tahoma" w:hAnsi="Tahoma" w:cs="Tahoma"/>
                <w:iCs/>
                <w:color w:val="333333"/>
                <w:sz w:val="14"/>
                <w:szCs w:val="14"/>
                <w:lang w:eastAsia="it-IT"/>
              </w:rPr>
              <w:t xml:space="preserve"> </w:t>
            </w:r>
            <w:proofErr w:type="spellStart"/>
            <w:r w:rsidRPr="00B57B36">
              <w:rPr>
                <w:rFonts w:ascii="Tahoma" w:hAnsi="Tahoma" w:cs="Tahoma"/>
                <w:iCs/>
                <w:color w:val="333333"/>
                <w:sz w:val="14"/>
                <w:szCs w:val="14"/>
                <w:lang w:eastAsia="it-IT"/>
              </w:rPr>
              <w:t>S.r.l</w:t>
            </w:r>
            <w:proofErr w:type="spellEnd"/>
            <w:r w:rsidRPr="00B57B36">
              <w:rPr>
                <w:rFonts w:ascii="Tahoma" w:hAnsi="Tahoma" w:cs="Tahoma"/>
                <w:iCs/>
                <w:color w:val="333333"/>
                <w:sz w:val="14"/>
                <w:szCs w:val="14"/>
                <w:lang w:eastAsia="it-IT"/>
              </w:rPr>
              <w:t>.</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003B49CD" w:rsidRPr="000562A9">
              <w:rPr>
                <w:rFonts w:ascii="Tahoma" w:hAnsi="Tahoma" w:cs="Tahoma"/>
                <w:sz w:val="14"/>
                <w:szCs w:val="14"/>
              </w:rPr>
              <w:t>97</w:t>
            </w:r>
            <w:r w:rsidR="003B49CD">
              <w:rPr>
                <w:rFonts w:ascii="Tahoma" w:hAnsi="Tahoma" w:cs="Tahoma"/>
                <w:sz w:val="14"/>
                <w:szCs w:val="14"/>
              </w:rPr>
              <w:t>9</w:t>
            </w:r>
            <w:r w:rsidR="003B49CD" w:rsidRPr="000562A9">
              <w:rPr>
                <w:rFonts w:ascii="Tahoma" w:hAnsi="Tahoma" w:cs="Tahoma"/>
                <w:sz w:val="14"/>
                <w:szCs w:val="14"/>
              </w:rPr>
              <w:t>-</w:t>
            </w:r>
            <w:r w:rsidR="003B49CD">
              <w:rPr>
                <w:rFonts w:ascii="Tahoma" w:hAnsi="Tahoma" w:cs="Tahoma"/>
                <w:sz w:val="14"/>
                <w:szCs w:val="14"/>
              </w:rPr>
              <w:t>12</w:t>
            </w:r>
            <w:r w:rsidR="003B49CD" w:rsidRPr="000562A9">
              <w:rPr>
                <w:rFonts w:ascii="Tahoma" w:hAnsi="Tahoma" w:cs="Tahoma"/>
                <w:sz w:val="14"/>
                <w:szCs w:val="14"/>
              </w:rPr>
              <w:t>-</w:t>
            </w:r>
            <w:r w:rsidR="003B49CD">
              <w:rPr>
                <w:rFonts w:ascii="Tahoma" w:hAnsi="Tahoma" w:cs="Tahoma"/>
                <w:sz w:val="14"/>
                <w:szCs w:val="14"/>
              </w:rPr>
              <w:t>81206-1</w:t>
            </w:r>
            <w:r w:rsidR="00994C6A">
              <w:rPr>
                <w:rFonts w:ascii="Tahoma" w:hAnsi="Tahoma" w:cs="Tahoma"/>
                <w:sz w:val="14"/>
                <w:szCs w:val="14"/>
              </w:rPr>
              <w:t>7</w:t>
            </w:r>
            <w:r w:rsidR="003B49CD">
              <w:rPr>
                <w:rFonts w:ascii="Tahoma" w:hAnsi="Tahoma" w:cs="Tahoma"/>
                <w:sz w:val="14"/>
                <w:szCs w:val="14"/>
              </w:rPr>
              <w:t>-</w:t>
            </w:r>
            <w:r w:rsidR="00994C6A">
              <w:rPr>
                <w:rFonts w:ascii="Tahoma" w:hAnsi="Tahoma" w:cs="Tahoma"/>
                <w:sz w:val="14"/>
                <w:szCs w:val="14"/>
              </w:rPr>
              <w:t>5</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bookmarkEnd w:id="0"/>
    <w:p w14:paraId="2E667253" w14:textId="37DAEC67" w:rsidR="00E978D0" w:rsidRPr="00B57B36" w:rsidRDefault="006C318F" w:rsidP="00E978D0">
      <w:pPr>
        <w:pStyle w:val="CETTitle"/>
      </w:pPr>
      <w:proofErr w:type="spellStart"/>
      <w:r>
        <w:rPr>
          <w:b/>
          <w:bCs/>
        </w:rPr>
        <w:t>Heptafluorobutyronitrile</w:t>
      </w:r>
      <w:proofErr w:type="spellEnd"/>
      <w:r>
        <w:rPr>
          <w:b/>
          <w:bCs/>
        </w:rPr>
        <w:t xml:space="preserve"> (C</w:t>
      </w:r>
      <w:r>
        <w:rPr>
          <w:b/>
          <w:bCs/>
          <w:vertAlign w:val="subscript"/>
        </w:rPr>
        <w:t>4</w:t>
      </w:r>
      <w:r>
        <w:rPr>
          <w:b/>
          <w:bCs/>
        </w:rPr>
        <w:t>F</w:t>
      </w:r>
      <w:r>
        <w:rPr>
          <w:b/>
          <w:bCs/>
          <w:vertAlign w:val="subscript"/>
        </w:rPr>
        <w:t>7</w:t>
      </w:r>
      <w:r>
        <w:rPr>
          <w:b/>
          <w:bCs/>
        </w:rPr>
        <w:t>N), hydrolysis, A Density Functional Theory (DFT) investigation</w:t>
      </w:r>
    </w:p>
    <w:p w14:paraId="0488FED2" w14:textId="6ECF91D1" w:rsidR="00B57E6F" w:rsidRPr="00B4357C" w:rsidRDefault="0024273B" w:rsidP="00B57E6F">
      <w:pPr>
        <w:pStyle w:val="CETAuthors"/>
        <w:rPr>
          <w:lang w:val="fr-FR"/>
        </w:rPr>
      </w:pPr>
      <w:r w:rsidRPr="00B4357C">
        <w:rPr>
          <w:lang w:val="fr-FR"/>
        </w:rPr>
        <w:t>Muhammad Bilal Arif</w:t>
      </w:r>
      <w:r w:rsidR="00B57E6F" w:rsidRPr="00B4357C">
        <w:rPr>
          <w:vertAlign w:val="superscript"/>
          <w:lang w:val="fr-FR"/>
        </w:rPr>
        <w:t>a</w:t>
      </w:r>
      <w:r w:rsidR="00B57E6F" w:rsidRPr="00B4357C">
        <w:rPr>
          <w:lang w:val="fr-FR"/>
        </w:rPr>
        <w:t xml:space="preserve">, </w:t>
      </w:r>
      <w:r w:rsidRPr="00B4357C">
        <w:rPr>
          <w:lang w:val="fr-FR"/>
        </w:rPr>
        <w:t>Christophe Coquelet</w:t>
      </w:r>
      <w:r w:rsidR="00F279FA" w:rsidRPr="00B4357C">
        <w:rPr>
          <w:vertAlign w:val="superscript"/>
          <w:lang w:val="fr-FR"/>
        </w:rPr>
        <w:t>a</w:t>
      </w:r>
      <w:r w:rsidR="00B57E6F" w:rsidRPr="00B4357C">
        <w:rPr>
          <w:lang w:val="fr-FR"/>
        </w:rPr>
        <w:t>*</w:t>
      </w:r>
      <w:r w:rsidRPr="00B4357C">
        <w:rPr>
          <w:lang w:val="fr-FR"/>
        </w:rPr>
        <w:t xml:space="preserve">, </w:t>
      </w:r>
      <w:r w:rsidR="004760D6" w:rsidRPr="00B4357C">
        <w:rPr>
          <w:lang w:val="fr-FR"/>
        </w:rPr>
        <w:t>Frank Jacquier</w:t>
      </w:r>
      <w:r w:rsidRPr="00B4357C">
        <w:rPr>
          <w:vertAlign w:val="superscript"/>
          <w:lang w:val="fr-FR"/>
        </w:rPr>
        <w:t>b</w:t>
      </w:r>
      <w:r w:rsidRPr="00B4357C">
        <w:rPr>
          <w:lang w:val="fr-FR"/>
        </w:rPr>
        <w:t>*, C</w:t>
      </w:r>
      <w:r w:rsidR="004760D6" w:rsidRPr="00B4357C">
        <w:rPr>
          <w:lang w:val="fr-FR"/>
        </w:rPr>
        <w:t>arlo Adamo</w:t>
      </w:r>
      <w:r w:rsidR="00461D9E" w:rsidRPr="00B4357C">
        <w:rPr>
          <w:vertAlign w:val="superscript"/>
          <w:lang w:val="fr-FR"/>
        </w:rPr>
        <w:t>c</w:t>
      </w:r>
      <w:r w:rsidRPr="00B4357C">
        <w:rPr>
          <w:lang w:val="fr-FR"/>
        </w:rPr>
        <w:t xml:space="preserve">*, </w:t>
      </w:r>
      <w:r w:rsidR="00727DC4" w:rsidRPr="00B4357C">
        <w:rPr>
          <w:lang w:val="fr-FR"/>
        </w:rPr>
        <w:t>Maxime Lacuve</w:t>
      </w:r>
      <w:r w:rsidRPr="00B4357C">
        <w:rPr>
          <w:vertAlign w:val="superscript"/>
          <w:lang w:val="fr-FR"/>
        </w:rPr>
        <w:t>b</w:t>
      </w:r>
      <w:r w:rsidRPr="00B4357C">
        <w:rPr>
          <w:lang w:val="fr-FR"/>
        </w:rPr>
        <w:t xml:space="preserve">*, </w:t>
      </w:r>
      <w:r w:rsidR="00224FAE" w:rsidRPr="00B4357C">
        <w:rPr>
          <w:lang w:val="fr-FR"/>
        </w:rPr>
        <w:t>Rachel Calvet</w:t>
      </w:r>
      <w:r w:rsidR="00F279FA" w:rsidRPr="00B4357C">
        <w:rPr>
          <w:vertAlign w:val="superscript"/>
          <w:lang w:val="fr-FR"/>
        </w:rPr>
        <w:t>a</w:t>
      </w:r>
      <w:r w:rsidRPr="00B4357C">
        <w:rPr>
          <w:lang w:val="fr-FR"/>
        </w:rPr>
        <w:t>*</w:t>
      </w:r>
    </w:p>
    <w:p w14:paraId="6B2D21B3" w14:textId="035317AA" w:rsidR="00B57E6F" w:rsidRPr="0025270D" w:rsidRDefault="00B57E6F" w:rsidP="00B57E6F">
      <w:pPr>
        <w:pStyle w:val="CETAddress"/>
        <w:rPr>
          <w:lang w:val="fr-FR"/>
        </w:rPr>
      </w:pPr>
      <w:r w:rsidRPr="0025270D">
        <w:rPr>
          <w:vertAlign w:val="superscript"/>
          <w:lang w:val="fr-FR"/>
        </w:rPr>
        <w:t>a</w:t>
      </w:r>
      <w:r w:rsidR="00461D9E" w:rsidRPr="0025270D">
        <w:rPr>
          <w:lang w:val="fr-FR"/>
        </w:rPr>
        <w:t>IMT Mines, ALBI, France</w:t>
      </w:r>
    </w:p>
    <w:p w14:paraId="3D72B0B0" w14:textId="28BA4A0E" w:rsidR="00B57E6F" w:rsidRPr="0025270D" w:rsidRDefault="00B57E6F" w:rsidP="00B57E6F">
      <w:pPr>
        <w:pStyle w:val="CETAddress"/>
        <w:rPr>
          <w:lang w:val="fr-FR"/>
        </w:rPr>
      </w:pPr>
      <w:r w:rsidRPr="0025270D">
        <w:rPr>
          <w:vertAlign w:val="superscript"/>
          <w:lang w:val="fr-FR"/>
        </w:rPr>
        <w:t>b</w:t>
      </w:r>
      <w:r w:rsidR="00461D9E" w:rsidRPr="0025270D">
        <w:rPr>
          <w:lang w:val="fr-FR"/>
        </w:rPr>
        <w:t xml:space="preserve">GE VERNOVA, Grid Solutions, </w:t>
      </w:r>
      <w:r w:rsidR="0025270D" w:rsidRPr="0025270D">
        <w:rPr>
          <w:lang w:val="fr-FR"/>
        </w:rPr>
        <w:t xml:space="preserve">Villeurbanne, </w:t>
      </w:r>
      <w:r w:rsidR="00461D9E" w:rsidRPr="0025270D">
        <w:rPr>
          <w:lang w:val="fr-FR"/>
        </w:rPr>
        <w:t>F</w:t>
      </w:r>
      <w:r w:rsidR="0025270D" w:rsidRPr="0025270D">
        <w:rPr>
          <w:lang w:val="fr-FR"/>
        </w:rPr>
        <w:t>r</w:t>
      </w:r>
      <w:r w:rsidR="00461D9E" w:rsidRPr="0025270D">
        <w:rPr>
          <w:lang w:val="fr-FR"/>
        </w:rPr>
        <w:t>ance</w:t>
      </w:r>
      <w:r w:rsidRPr="0025270D">
        <w:rPr>
          <w:lang w:val="fr-FR"/>
        </w:rPr>
        <w:t xml:space="preserve"> </w:t>
      </w:r>
    </w:p>
    <w:p w14:paraId="4EBC6E9F" w14:textId="2AF894EE" w:rsidR="00461D9E" w:rsidRPr="0025270D" w:rsidRDefault="00461D9E" w:rsidP="00461D9E">
      <w:pPr>
        <w:pStyle w:val="CETAddress"/>
        <w:rPr>
          <w:lang w:val="fr-FR"/>
        </w:rPr>
      </w:pPr>
      <w:r w:rsidRPr="0025270D">
        <w:rPr>
          <w:vertAlign w:val="superscript"/>
          <w:lang w:val="fr-FR"/>
        </w:rPr>
        <w:t>c</w:t>
      </w:r>
      <w:r w:rsidRPr="0025270D">
        <w:rPr>
          <w:lang w:val="fr-FR"/>
        </w:rPr>
        <w:t xml:space="preserve">PSL Chimie ParisTech, </w:t>
      </w:r>
      <w:r w:rsidR="0025270D" w:rsidRPr="0025270D">
        <w:rPr>
          <w:lang w:val="fr-FR"/>
        </w:rPr>
        <w:t xml:space="preserve">Paris, </w:t>
      </w:r>
      <w:r w:rsidRPr="0025270D">
        <w:rPr>
          <w:lang w:val="fr-FR"/>
        </w:rPr>
        <w:t>France</w:t>
      </w:r>
    </w:p>
    <w:p w14:paraId="46EEDD0F" w14:textId="77777777" w:rsidR="00461D9E" w:rsidRPr="0025270D" w:rsidRDefault="00461D9E" w:rsidP="00B57E6F">
      <w:pPr>
        <w:pStyle w:val="CETAddress"/>
        <w:rPr>
          <w:lang w:val="fr-FR"/>
        </w:rPr>
      </w:pPr>
    </w:p>
    <w:p w14:paraId="04B319EE" w14:textId="70818266" w:rsidR="00600535" w:rsidRPr="005D65DC" w:rsidRDefault="00000000" w:rsidP="005D65DC">
      <w:pPr>
        <w:pStyle w:val="CETemail"/>
        <w:spacing w:line="240" w:lineRule="auto"/>
        <w:rPr>
          <w:lang w:val="fr-FR"/>
        </w:rPr>
      </w:pPr>
      <w:hyperlink r:id="rId10" w:history="1">
        <w:r w:rsidR="006A164C">
          <w:rPr>
            <w:rStyle w:val="Hyperlink"/>
            <w:lang w:val="fr-FR"/>
          </w:rPr>
          <w:t>muhammad.arif@mines-albi.fr</w:t>
        </w:r>
      </w:hyperlink>
      <w:r w:rsidR="006A164C">
        <w:rPr>
          <w:lang w:val="fr-FR"/>
        </w:rPr>
        <w:t>,</w:t>
      </w:r>
      <w:r w:rsidR="00B57E6F" w:rsidRPr="0025270D">
        <w:rPr>
          <w:lang w:val="fr-FR"/>
        </w:rPr>
        <w:t xml:space="preserve"> </w:t>
      </w:r>
      <w:hyperlink r:id="rId11" w:history="1">
        <w:r w:rsidR="006A164C" w:rsidRPr="00805AE5">
          <w:rPr>
            <w:rStyle w:val="Hyperlink"/>
            <w:lang w:val="fr-FR"/>
          </w:rPr>
          <w:t>christophe.coquelet@mines-albi.fr</w:t>
        </w:r>
      </w:hyperlink>
      <w:r w:rsidR="006A164C">
        <w:rPr>
          <w:lang w:val="fr-FR"/>
        </w:rPr>
        <w:t xml:space="preserve">; </w:t>
      </w:r>
      <w:hyperlink r:id="rId12" w:history="1">
        <w:r w:rsidR="003279F5" w:rsidRPr="00C41460">
          <w:rPr>
            <w:rStyle w:val="Hyperlink"/>
            <w:lang w:val="fr-FR"/>
          </w:rPr>
          <w:t>frank.jacquier@ge.com</w:t>
        </w:r>
      </w:hyperlink>
      <w:r w:rsidR="003279F5">
        <w:rPr>
          <w:lang w:val="fr-FR"/>
        </w:rPr>
        <w:t xml:space="preserve">; </w:t>
      </w:r>
      <w:hyperlink r:id="rId13" w:history="1">
        <w:r w:rsidR="003279F5" w:rsidRPr="00C41460">
          <w:rPr>
            <w:rStyle w:val="Hyperlink"/>
            <w:lang w:val="fr-FR"/>
          </w:rPr>
          <w:t>carlo.adamo@chimieparistech.psl.eu</w:t>
        </w:r>
      </w:hyperlink>
      <w:r w:rsidR="003279F5">
        <w:rPr>
          <w:lang w:val="fr-FR"/>
        </w:rPr>
        <w:t xml:space="preserve">;  </w:t>
      </w:r>
      <w:hyperlink r:id="rId14" w:history="1">
        <w:r w:rsidR="003279F5" w:rsidRPr="00C41460">
          <w:rPr>
            <w:rStyle w:val="Hyperlink"/>
            <w:lang w:val="fr-FR"/>
          </w:rPr>
          <w:t>Maxime.LACUVE@ge.com</w:t>
        </w:r>
      </w:hyperlink>
      <w:r w:rsidR="003279F5">
        <w:rPr>
          <w:lang w:val="fr-FR"/>
        </w:rPr>
        <w:t xml:space="preserve">; </w:t>
      </w:r>
      <w:hyperlink r:id="rId15" w:history="1">
        <w:r w:rsidR="009E5869" w:rsidRPr="00C41460">
          <w:rPr>
            <w:rStyle w:val="Hyperlink"/>
            <w:lang w:val="fr-FR"/>
          </w:rPr>
          <w:t>rachel.calvet@mines-albi.fr</w:t>
        </w:r>
      </w:hyperlink>
      <w:r w:rsidR="009E5869">
        <w:rPr>
          <w:lang w:val="fr-FR"/>
        </w:rPr>
        <w:t xml:space="preserve"> </w:t>
      </w:r>
      <w:bookmarkStart w:id="1" w:name="_Hlk495475023"/>
    </w:p>
    <w:p w14:paraId="7F1C7417" w14:textId="317EC4DD" w:rsidR="000A4345" w:rsidRPr="009337C4" w:rsidRDefault="000A4345" w:rsidP="009337C4">
      <w:pPr>
        <w:rPr>
          <w:rFonts w:asciiTheme="minorHAnsi" w:hAnsiTheme="minorHAnsi"/>
          <w:sz w:val="22"/>
          <w:lang w:val="en-US"/>
        </w:rPr>
      </w:pPr>
      <w:proofErr w:type="spellStart"/>
      <w:r>
        <w:t>Heptafluorobutyronitrile</w:t>
      </w:r>
      <w:proofErr w:type="spellEnd"/>
      <w:r>
        <w:t xml:space="preserve"> (C</w:t>
      </w:r>
      <w:r>
        <w:rPr>
          <w:vertAlign w:val="subscript"/>
        </w:rPr>
        <w:t>4</w:t>
      </w:r>
      <w:r>
        <w:t>F</w:t>
      </w:r>
      <w:r>
        <w:rPr>
          <w:vertAlign w:val="subscript"/>
        </w:rPr>
        <w:t>7</w:t>
      </w:r>
      <w:r>
        <w:t xml:space="preserve">N) has received much consideration as an effective substitute to </w:t>
      </w:r>
      <w:proofErr w:type="spellStart"/>
      <w:r>
        <w:t>sulfur</w:t>
      </w:r>
      <w:proofErr w:type="spellEnd"/>
      <w:r>
        <w:t xml:space="preserve"> hexafluoride (SF</w:t>
      </w:r>
      <w:r w:rsidRPr="00D63A77">
        <w:rPr>
          <w:vertAlign w:val="subscript"/>
        </w:rPr>
        <w:t>6</w:t>
      </w:r>
      <w:r>
        <w:t>) in the electrical industrial sector over the last decade. However, liability is the key to emerging technology, and the thermoelectric aging of the insulation gases may produce unavoidable consequences that raise concerns for the operator and human safety. Recently, numerous pieces of literature mentioned the production of crystals in the form of amide and dimer (ligand) generated from the aging of C</w:t>
      </w:r>
      <w:r w:rsidRPr="00F11AA0">
        <w:rPr>
          <w:vertAlign w:val="subscript"/>
        </w:rPr>
        <w:t>4</w:t>
      </w:r>
      <w:r>
        <w:t>F</w:t>
      </w:r>
      <w:r w:rsidRPr="00F11AA0">
        <w:rPr>
          <w:vertAlign w:val="subscript"/>
        </w:rPr>
        <w:t>7</w:t>
      </w:r>
      <w:r>
        <w:t xml:space="preserve">N with few water molecules. </w:t>
      </w:r>
      <w:r w:rsidRPr="004C591F">
        <w:t>It was found that the hydrolysis of fluoronitrile chemical reactions initial with the production of amide (C</w:t>
      </w:r>
      <w:r w:rsidRPr="004C591F">
        <w:rPr>
          <w:vertAlign w:val="subscript"/>
        </w:rPr>
        <w:t>4</w:t>
      </w:r>
      <w:r w:rsidRPr="004C591F">
        <w:t>H</w:t>
      </w:r>
      <w:r w:rsidRPr="004C591F">
        <w:rPr>
          <w:vertAlign w:val="subscript"/>
        </w:rPr>
        <w:t>2</w:t>
      </w:r>
      <w:r w:rsidRPr="004C591F">
        <w:t>F</w:t>
      </w:r>
      <w:r w:rsidRPr="004C591F">
        <w:rPr>
          <w:vertAlign w:val="subscript"/>
        </w:rPr>
        <w:t>7</w:t>
      </w:r>
      <w:r w:rsidRPr="004C591F">
        <w:t>NO) and following, with the addition of C</w:t>
      </w:r>
      <w:r w:rsidRPr="004C591F">
        <w:rPr>
          <w:vertAlign w:val="subscript"/>
        </w:rPr>
        <w:t>4</w:t>
      </w:r>
      <w:r w:rsidRPr="004C591F">
        <w:t>F</w:t>
      </w:r>
      <w:r w:rsidRPr="004C591F">
        <w:rPr>
          <w:vertAlign w:val="subscript"/>
        </w:rPr>
        <w:t>7</w:t>
      </w:r>
      <w:r w:rsidRPr="004C591F">
        <w:t>N molecules, accelerates the reaction to produce dimer (C</w:t>
      </w:r>
      <w:r w:rsidRPr="004C591F">
        <w:rPr>
          <w:vertAlign w:val="subscript"/>
        </w:rPr>
        <w:t>8</w:t>
      </w:r>
      <w:r w:rsidRPr="004C591F">
        <w:t>H</w:t>
      </w:r>
      <w:r w:rsidRPr="004C591F">
        <w:rPr>
          <w:vertAlign w:val="subscript"/>
        </w:rPr>
        <w:t>2</w:t>
      </w:r>
      <w:r w:rsidRPr="004C591F">
        <w:t>F</w:t>
      </w:r>
      <w:r w:rsidRPr="004C591F">
        <w:rPr>
          <w:vertAlign w:val="subscript"/>
        </w:rPr>
        <w:t>14</w:t>
      </w:r>
      <w:r w:rsidRPr="004C591F">
        <w:t>N</w:t>
      </w:r>
      <w:r w:rsidRPr="004C591F">
        <w:rPr>
          <w:vertAlign w:val="subscript"/>
        </w:rPr>
        <w:t>2</w:t>
      </w:r>
      <w:r w:rsidRPr="004C591F">
        <w:t>O)</w:t>
      </w:r>
      <w:r w:rsidR="006E0106" w:rsidRPr="004C591F">
        <w:t xml:space="preserve"> and further is the possibility to generate various range of byproducts</w:t>
      </w:r>
      <w:r w:rsidRPr="004C591F">
        <w:t>.</w:t>
      </w:r>
      <w:r>
        <w:t xml:space="preserve"> Thermodynamically, C</w:t>
      </w:r>
      <w:r>
        <w:rPr>
          <w:vertAlign w:val="subscript"/>
        </w:rPr>
        <w:t>4</w:t>
      </w:r>
      <w:r>
        <w:t>F</w:t>
      </w:r>
      <w:r>
        <w:rPr>
          <w:vertAlign w:val="subscript"/>
        </w:rPr>
        <w:t>7</w:t>
      </w:r>
      <w:r>
        <w:t>NH</w:t>
      </w:r>
      <w:r>
        <w:rPr>
          <w:vertAlign w:val="subscript"/>
        </w:rPr>
        <w:t>2</w:t>
      </w:r>
      <w:r>
        <w:t>O + C</w:t>
      </w:r>
      <w:r>
        <w:rPr>
          <w:vertAlign w:val="subscript"/>
        </w:rPr>
        <w:t>4</w:t>
      </w:r>
      <w:r>
        <w:t>F</w:t>
      </w:r>
      <w:r>
        <w:rPr>
          <w:vertAlign w:val="subscript"/>
        </w:rPr>
        <w:t>7</w:t>
      </w:r>
      <w:r>
        <w:t xml:space="preserve">N </w:t>
      </w:r>
      <w:r>
        <w:sym w:font="Wingdings" w:char="F0E0"/>
      </w:r>
      <w:r>
        <w:t xml:space="preserve"> C</w:t>
      </w:r>
      <w:r>
        <w:rPr>
          <w:vertAlign w:val="subscript"/>
        </w:rPr>
        <w:t>8</w:t>
      </w:r>
      <w:r>
        <w:t>H</w:t>
      </w:r>
      <w:r>
        <w:rPr>
          <w:vertAlign w:val="subscript"/>
        </w:rPr>
        <w:t>2</w:t>
      </w:r>
      <w:r>
        <w:t>F</w:t>
      </w:r>
      <w:r>
        <w:rPr>
          <w:vertAlign w:val="subscript"/>
        </w:rPr>
        <w:t>14</w:t>
      </w:r>
      <w:r>
        <w:t>N</w:t>
      </w:r>
      <w:r>
        <w:rPr>
          <w:vertAlign w:val="subscript"/>
        </w:rPr>
        <w:t>2</w:t>
      </w:r>
      <w:r>
        <w:t xml:space="preserve">O is the </w:t>
      </w:r>
      <w:r w:rsidR="00F11AA0">
        <w:t>favourable</w:t>
      </w:r>
      <w:r>
        <w:t xml:space="preserve"> chemical reaction with a 23 kcal/mol energy barrier that generates a dimer molecule. Furthermore, in presence of paramagnetic ion (typically Cu (II)), a Cooper based complex (as purple crystals) may appear. Gibbs free energy at elevated temperature indicates the driving force is needed to accelerate the reaction except C</w:t>
      </w:r>
      <w:r>
        <w:rPr>
          <w:vertAlign w:val="subscript"/>
        </w:rPr>
        <w:t>8</w:t>
      </w:r>
      <w:r>
        <w:t>H</w:t>
      </w:r>
      <w:r>
        <w:rPr>
          <w:vertAlign w:val="subscript"/>
        </w:rPr>
        <w:t>2</w:t>
      </w:r>
      <w:r>
        <w:t>F</w:t>
      </w:r>
      <w:r>
        <w:rPr>
          <w:vertAlign w:val="subscript"/>
        </w:rPr>
        <w:t>14</w:t>
      </w:r>
      <w:r>
        <w:t>N</w:t>
      </w:r>
      <w:r>
        <w:rPr>
          <w:vertAlign w:val="subscript"/>
        </w:rPr>
        <w:t>2</w:t>
      </w:r>
      <w:r>
        <w:t>O + H</w:t>
      </w:r>
      <w:r>
        <w:rPr>
          <w:vertAlign w:val="subscript"/>
        </w:rPr>
        <w:t>2</w:t>
      </w:r>
      <w:r>
        <w:t xml:space="preserve">O </w:t>
      </w:r>
      <w:r>
        <w:sym w:font="Wingdings" w:char="F0E0"/>
      </w:r>
      <w:r>
        <w:t xml:space="preserve"> C</w:t>
      </w:r>
      <w:r>
        <w:rPr>
          <w:vertAlign w:val="subscript"/>
        </w:rPr>
        <w:t>12</w:t>
      </w:r>
      <w:r>
        <w:t>H</w:t>
      </w:r>
      <w:r>
        <w:rPr>
          <w:vertAlign w:val="subscript"/>
        </w:rPr>
        <w:t>2</w:t>
      </w:r>
      <w:r>
        <w:t>F</w:t>
      </w:r>
      <w:r>
        <w:rPr>
          <w:vertAlign w:val="subscript"/>
        </w:rPr>
        <w:t>21</w:t>
      </w:r>
      <w:r>
        <w:t>N</w:t>
      </w:r>
      <w:r>
        <w:rPr>
          <w:vertAlign w:val="subscript"/>
        </w:rPr>
        <w:t>3</w:t>
      </w:r>
      <w:r>
        <w:t>O, whose energy values throughout remain consistent. Theoretical calculations reveal the water acts as a strong catalytic that can abruptly reduce the energy barrier of the initial reaction from 59 to 10 kcal mol</w:t>
      </w:r>
      <w:r>
        <w:rPr>
          <w:vertAlign w:val="superscript"/>
        </w:rPr>
        <w:t>-1</w:t>
      </w:r>
      <w:r>
        <w:t xml:space="preserve"> and open the pathway to generate other byproducts.</w:t>
      </w:r>
    </w:p>
    <w:bookmarkEnd w:id="1"/>
    <w:p w14:paraId="476B2F2E" w14:textId="52B36035" w:rsidR="00600535" w:rsidRPr="00B57B36" w:rsidRDefault="00600535" w:rsidP="00600535">
      <w:pPr>
        <w:pStyle w:val="CETHeading1"/>
        <w:rPr>
          <w:lang w:val="en-GB"/>
        </w:rPr>
      </w:pPr>
      <w:r w:rsidRPr="00B57B36">
        <w:rPr>
          <w:lang w:val="en-GB"/>
        </w:rPr>
        <w:t>Introduction</w:t>
      </w:r>
    </w:p>
    <w:p w14:paraId="21D6690F" w14:textId="3840CA2C" w:rsidR="007D2726" w:rsidRDefault="00DD0688" w:rsidP="007D2726">
      <w:pPr>
        <w:pStyle w:val="ListParagraph"/>
        <w:ind w:left="0"/>
      </w:pPr>
      <w:r>
        <w:t>SF</w:t>
      </w:r>
      <w:r w:rsidRPr="00F11AA0">
        <w:rPr>
          <w:vertAlign w:val="subscript"/>
        </w:rPr>
        <w:t>6</w:t>
      </w:r>
      <w:r>
        <w:t xml:space="preserve"> is a well-known insulation gas, having the properties of excellent dielectric strength, arc quenching capability, chemical inertness, and low toxicity. These essential properties enable it an excellent choice to be used in high-voltage equipment such as Gas-Insulated Switchgear (GIS), Gas-Insulated Lines (GIL), Gas Circuit Breakers (GCB), Live Tank Breakers (LTB), and Dead Tank Breakers (DTB) from the past few decades. However, it has a global warming potential (GWP</w:t>
      </w:r>
      <w:r w:rsidRPr="00DD0688">
        <w:rPr>
          <w:vertAlign w:val="subscript"/>
        </w:rPr>
        <w:t>100-yr</w:t>
      </w:r>
      <w:r>
        <w:t>) about 23,500 times that of CO</w:t>
      </w:r>
      <w:r w:rsidRPr="00F11AA0">
        <w:rPr>
          <w:vertAlign w:val="subscript"/>
        </w:rPr>
        <w:t>2</w:t>
      </w:r>
      <w:r>
        <w:t xml:space="preserve"> with a 3200-year lifetime. Thus, it was restricted to be used in high-voltage equipment worldwide in the 1997 Kyoto Protocol and </w:t>
      </w:r>
      <w:r w:rsidR="007D2726">
        <w:t>labelled</w:t>
      </w:r>
      <w:r>
        <w:t xml:space="preserve"> as one of six global warming potential gases </w:t>
      </w:r>
      <w:r>
        <w:fldChar w:fldCharType="begin" w:fldLock="1"/>
      </w:r>
      <w:r w:rsidR="0020668B">
        <w:instrText>ADDIN CSL_CITATION {"citationItems":[{"id":"ITEM-1","itemData":{"DOI":"10.1080/10473289.2000.10463996","ISSN":"10473289","PMID":"10680375","abstract":"This work provides information concerning possible global environmental implications and personnel safety aspects that should be considered during the commercial uses of sulfur hexafluoride (SF6). SF6 is an anthropogenically produced compound, mainly used as a gaseous dielectric in gas insulated switchgear power installations. It is a potent greenhouse gas with a high global warming potential, and its concentration in the earth atmosphere is rapidly increasing. During its working cycle, SF6 decomposes under electrical stress, forming toxic byproducts that are a health threat for working personnel in the event of exposure. Several precautions are recommended to avoid personnel exposure to toxic byproducts: Oxyfluoridelevels or other byproduct concentrations in the operating gas matrix should be traced to predetermine the overall gas toxicity; contaminants should be systematically considered during maintenance, chamber evacuation and system opening process; small SF6 quantities leaking into air or stagnated pollutant concentrations in the operating field should be analyzed and compared to the threshold limit values and permissible exposure levels.New system design rules (i.e., hermetically sealed gas compartments, gas recycling or disposal in the field area) and different handling policies—both during maintenance and final disposal—now should be considered globally to provide for environmental and personnel safety. © 2000 Air and Waste Management Association.","author":[{"dropping-particle":"","family":"Dervos","given":"Constantine T.","non-dropping-particle":"","parse-names":false,"suffix":""},{"dropping-particle":"","family":"Vassiliou","given":"Panayota","non-dropping-particle":"","parse-names":false,"suffix":""}],"container-title":"Journal of the Air and Waste Management Association","id":"ITEM-1","issue":"1","issued":{"date-parts":[["2000"]]},"page":"137-141","title":"Sulfur hexafluoride (sf6): Global environmental effects and toxic byproduct formation","type":"article-journal","volume":"50"},"uris":["http://www.mendeley.com/documents/?uuid=e8d4baa8-8af6-46ca-8c5d-411983d0baed"]}],"mendeley":{"formattedCitation":"(Dervos and Vassiliou, 2000)","plainTextFormattedCitation":"(Dervos and Vassiliou, 2000)","previouslyFormattedCitation":"(Dervos and Vassiliou, 2000)"},"properties":{"noteIndex":0},"schema":"https://github.com/citation-style-language/schema/raw/master/csl-citation.json"}</w:instrText>
      </w:r>
      <w:r>
        <w:fldChar w:fldCharType="separate"/>
      </w:r>
      <w:r w:rsidR="00B4357C" w:rsidRPr="00B4357C">
        <w:rPr>
          <w:noProof/>
        </w:rPr>
        <w:t>(Dervos and Vassiliou, 2000)</w:t>
      </w:r>
      <w:r>
        <w:fldChar w:fldCharType="end"/>
      </w:r>
      <w:r>
        <w:t>. Therefore, scientists conducted extensive research work to figure out the substitution of SF</w:t>
      </w:r>
      <w:r w:rsidRPr="00751C8E">
        <w:rPr>
          <w:vertAlign w:val="subscript"/>
        </w:rPr>
        <w:t>6</w:t>
      </w:r>
      <w:r>
        <w:t xml:space="preserve"> gas, and eventually, a buffer gaseous blend containing CO</w:t>
      </w:r>
      <w:r w:rsidRPr="00F11AA0">
        <w:rPr>
          <w:vertAlign w:val="subscript"/>
        </w:rPr>
        <w:t>2</w:t>
      </w:r>
      <w:r>
        <w:t xml:space="preserve"> and O</w:t>
      </w:r>
      <w:r w:rsidRPr="00F11AA0">
        <w:rPr>
          <w:vertAlign w:val="subscript"/>
        </w:rPr>
        <w:t>2</w:t>
      </w:r>
      <w:r>
        <w:t xml:space="preserve"> with a few percent of C</w:t>
      </w:r>
      <w:r w:rsidRPr="00F11AA0">
        <w:rPr>
          <w:vertAlign w:val="subscript"/>
        </w:rPr>
        <w:t>4</w:t>
      </w:r>
      <w:r>
        <w:t>F</w:t>
      </w:r>
      <w:r w:rsidRPr="00F11AA0">
        <w:rPr>
          <w:vertAlign w:val="subscript"/>
        </w:rPr>
        <w:t>7</w:t>
      </w:r>
      <w:r>
        <w:t xml:space="preserve">N was introduced in the market by GE VERNOVA, Grid Solution </w:t>
      </w:r>
      <w:r>
        <w:fldChar w:fldCharType="begin" w:fldLock="1"/>
      </w:r>
      <w:r w:rsidR="0020668B">
        <w:instrText>ADDIN CSL_CITATION {"citationItems":[{"id":"ITEM-1","itemData":{"DOI":"10.1049/oap-cired.2017.0795","ISSN":"25150855","abstract":"The current transmission and distribution network relies on SF6 technology because of its remarkable arc quenching properties and dielectric insulation. However, SF6 is a greenhouse gas with an extremely significant impact on global warming. It is one of the six gasses listed in the 1997 Kyoto Protocol designed to lower greenhouse gas emissions worldwide. In addition, as a fluorinated gas, SF6 is subject to various other regulations that intend to reduce emissions. GE jointly developed g3 (green gas for grid) with 3M™ Company, a leader in environmentally sustainable solutions. g3 has 98% less impact on global warming than SF6. With performances comparable to SF6, it is a suitable technology for the development of today's new generation of clean high- and ultrahigh voltage equipment. Equipment using g3 maintains the same dimensions and overall footprint, which are key environmental and economical factors for utilities. In order to obtain the same dielectric margin, the pressure level in some cases has to be increased relative to SF6 values but the operating pressures are limited to values already known in GIS, DT (Dead Tank) and LT (Live Tank). This paper describes the g3 characteristics in detail, with a focus on its use as current interruption medium.","author":[{"dropping-particle":"","family":"Kieffel","given":"Yannick","non-dropping-particle":"","parse-names":false,"suffix":""},{"dropping-particle":"","family":"Biquez","given":"François","non-dropping-particle":"","parse-names":false,"suffix":""},{"dropping-particle":"","family":"Vigouroux","given":"Daniel","non-dropping-particle":"","parse-names":false,"suffix":""},{"dropping-particle":"","family":"Ponchon","given":"Philippe","non-dropping-particle":"","parse-names":false,"suffix":""},{"dropping-particle":"","family":"Schlernitzauer","given":"Audrey","non-dropping-particle":"","parse-names":false,"suffix":""},{"dropping-particle":"","family":"Magous","given":"Richard","non-dropping-particle":"","parse-names":false,"suffix":""},{"dropping-particle":"","family":"Cros","given":"Gérard","non-dropping-particle":"","parse-names":false,"suffix":""},{"dropping-particle":"","family":"Owens","given":"John G.","non-dropping-particle":"","parse-names":false,"suffix":""}],"container-title":"CIRED - Open Access Proceedings Journal","id":"ITEM-1","issue":"1","issued":{"date-parts":[["2017","10","1"]]},"page":"54-57","publisher":"Institution of Engineering and Technology","title":"Characteristics of g3 - An alternative to SF6","type":"paper-conference","volume":"2017"},"uris":["http://www.mendeley.com/documents/?uuid=b02e3883-5c97-310f-b8ba-bd7fc8961625"]}],"mendeley":{"formattedCitation":"(Kieffel &lt;i&gt;et al.&lt;/i&gt;, 2017)","plainTextFormattedCitation":"(Kieffel et al., 2017)","previouslyFormattedCitation":"(Kieffel &lt;i&gt;et al.&lt;/i&gt;, 2017)"},"properties":{"noteIndex":0},"schema":"https://github.com/citation-style-language/schema/raw/master/csl-citation.json"}</w:instrText>
      </w:r>
      <w:r>
        <w:fldChar w:fldCharType="separate"/>
      </w:r>
      <w:r w:rsidR="00B4357C" w:rsidRPr="00B4357C">
        <w:rPr>
          <w:noProof/>
        </w:rPr>
        <w:t xml:space="preserve">(Kieffel </w:t>
      </w:r>
      <w:r w:rsidR="00B4357C" w:rsidRPr="00B4357C">
        <w:rPr>
          <w:i/>
          <w:noProof/>
        </w:rPr>
        <w:t>et al.</w:t>
      </w:r>
      <w:r w:rsidR="00B4357C" w:rsidRPr="00B4357C">
        <w:rPr>
          <w:noProof/>
        </w:rPr>
        <w:t>, 2017)</w:t>
      </w:r>
      <w:r>
        <w:fldChar w:fldCharType="end"/>
      </w:r>
      <w:r>
        <w:t>. Adding C</w:t>
      </w:r>
      <w:r w:rsidRPr="00661EC8">
        <w:rPr>
          <w:vertAlign w:val="subscript"/>
        </w:rPr>
        <w:t>4</w:t>
      </w:r>
      <w:r>
        <w:t>F</w:t>
      </w:r>
      <w:r w:rsidRPr="00661EC8">
        <w:rPr>
          <w:vertAlign w:val="subscript"/>
        </w:rPr>
        <w:t>7</w:t>
      </w:r>
      <w:r>
        <w:t>N in sufficient quantity will permit to have a bubble point curve in the right domain of P and T in comparison to CO</w:t>
      </w:r>
      <w:r w:rsidRPr="00DD0688">
        <w:rPr>
          <w:vertAlign w:val="subscript"/>
        </w:rPr>
        <w:t>2</w:t>
      </w:r>
      <w:r>
        <w:t>/O</w:t>
      </w:r>
      <w:r w:rsidRPr="00DD0688">
        <w:rPr>
          <w:vertAlign w:val="subscript"/>
        </w:rPr>
        <w:t>2</w:t>
      </w:r>
      <w:r>
        <w:t xml:space="preserve"> binary system</w:t>
      </w:r>
      <w:r w:rsidR="007D2726">
        <w:t>.</w:t>
      </w:r>
    </w:p>
    <w:p w14:paraId="19061D64" w14:textId="77777777" w:rsidR="00B061B8" w:rsidRDefault="00B061B8" w:rsidP="007D2726">
      <w:pPr>
        <w:pStyle w:val="ListParagraph"/>
        <w:ind w:left="0"/>
      </w:pPr>
    </w:p>
    <w:p w14:paraId="02348463" w14:textId="1D2DB191" w:rsidR="00DD0688" w:rsidRDefault="00DD0688" w:rsidP="007D2726">
      <w:pPr>
        <w:pStyle w:val="ListParagraph"/>
        <w:ind w:left="0"/>
        <w:rPr>
          <w:color w:val="000000" w:themeColor="text1"/>
        </w:rPr>
      </w:pPr>
      <w:r w:rsidRPr="00DD0688">
        <w:rPr>
          <w:color w:val="000000" w:themeColor="text1"/>
        </w:rPr>
        <w:t>Chemical stability of the insulation gas with the interaction of metals and humidity is the crucial factor for its usage in high-voltage devices. Several literatures mention the qualitative and quantitative studies regarding the byproduct’s identification under the thermoelectric stress of a g</w:t>
      </w:r>
      <w:r w:rsidRPr="00A6591C">
        <w:rPr>
          <w:color w:val="000000" w:themeColor="text1"/>
          <w:vertAlign w:val="superscript"/>
        </w:rPr>
        <w:t>3</w:t>
      </w:r>
      <w:r w:rsidRPr="00DD0688">
        <w:rPr>
          <w:color w:val="000000" w:themeColor="text1"/>
        </w:rPr>
        <w:t xml:space="preserve"> (C</w:t>
      </w:r>
      <w:r w:rsidRPr="00A6591C">
        <w:rPr>
          <w:color w:val="000000" w:themeColor="text1"/>
          <w:vertAlign w:val="subscript"/>
        </w:rPr>
        <w:t>4</w:t>
      </w:r>
      <w:r w:rsidRPr="00DD0688">
        <w:rPr>
          <w:color w:val="000000" w:themeColor="text1"/>
        </w:rPr>
        <w:t>F</w:t>
      </w:r>
      <w:r w:rsidRPr="00A6591C">
        <w:rPr>
          <w:color w:val="000000" w:themeColor="text1"/>
          <w:vertAlign w:val="subscript"/>
        </w:rPr>
        <w:t>7</w:t>
      </w:r>
      <w:r w:rsidRPr="00DD0688">
        <w:rPr>
          <w:color w:val="000000" w:themeColor="text1"/>
        </w:rPr>
        <w:t>N – CO</w:t>
      </w:r>
      <w:r w:rsidRPr="00A6591C">
        <w:rPr>
          <w:color w:val="000000" w:themeColor="text1"/>
          <w:vertAlign w:val="subscript"/>
        </w:rPr>
        <w:t>2</w:t>
      </w:r>
      <w:r w:rsidRPr="00DD0688">
        <w:rPr>
          <w:color w:val="000000" w:themeColor="text1"/>
        </w:rPr>
        <w:t xml:space="preserve"> – O</w:t>
      </w:r>
      <w:r w:rsidRPr="00A6591C">
        <w:rPr>
          <w:color w:val="000000" w:themeColor="text1"/>
          <w:vertAlign w:val="subscript"/>
        </w:rPr>
        <w:t>2</w:t>
      </w:r>
      <w:r w:rsidRPr="00DD0688">
        <w:rPr>
          <w:color w:val="000000" w:themeColor="text1"/>
        </w:rPr>
        <w:t xml:space="preserve">) gaseous mixture </w:t>
      </w:r>
      <w:r w:rsidRPr="00DD0688">
        <w:rPr>
          <w:color w:val="000000" w:themeColor="text1"/>
          <w:lang w:val="fr-FR"/>
        </w:rPr>
        <w:fldChar w:fldCharType="begin" w:fldLock="1"/>
      </w:r>
      <w:r w:rsidR="0020668B">
        <w:rPr>
          <w:color w:val="000000" w:themeColor="text1"/>
        </w:rPr>
        <w:instrText>ADDIN CSL_CITATION {"citationItems":[{"id":"ITEM-1","itemData":{"DOI":"10.1049/hve2.12120","author":[{"dropping-particle":"","family":"Iddrissu","given":"Ibrahim","non-dropping-particle":"","parse-names":false,"suffix":""},{"dropping-particle":"","family":"Kieffel","given":"Yannick","non-dropping-particle":"","parse-names":false,"suffix":""},{"dropping-particle":"","family":"Han","given":"Qinghua","non-dropping-particle":"","parse-names":false,"suffix":""},{"dropping-particle":"","family":"Chen","given":"Lujia","non-dropping-particle":"","parse-names":false,"suffix":""},{"dropping-particle":"","family":"Maksoud","given":"Louis","non-dropping-particle":"","parse-names":false,"suffix":""}],"container-title":"High Voltage","id":"ITEM-1","issue":"05","issued":{"date-parts":[["2021"]]},"page":"750-759","title":"Gas decomposition and electrode degradation characteristics of a 20% C3F7CN and 80% CO2 gas mixture for high voltage accelerators","type":"article-journal"},"uris":["http://www.mendeley.com/documents/?uuid=5fefaf38-74d1-44a1-b803-cc311e8a6e59"]}],"mendeley":{"formattedCitation":"(Iddrissu &lt;i&gt;et al.&lt;/i&gt;, 2021)","plainTextFormattedCitation":"(Iddrissu et al., 2021)","previouslyFormattedCitation":"(Iddrissu &lt;i&gt;et al.&lt;/i&gt;, 2021)"},"properties":{"noteIndex":0},"schema":"https://github.com/citation-style-language/schema/raw/master/csl-citation.json"}</w:instrText>
      </w:r>
      <w:r w:rsidRPr="00DD0688">
        <w:rPr>
          <w:color w:val="000000" w:themeColor="text1"/>
          <w:lang w:val="fr-FR"/>
        </w:rPr>
        <w:fldChar w:fldCharType="separate"/>
      </w:r>
      <w:r w:rsidR="00B4357C" w:rsidRPr="00B4357C">
        <w:rPr>
          <w:noProof/>
          <w:color w:val="000000" w:themeColor="text1"/>
        </w:rPr>
        <w:t xml:space="preserve">(Iddrissu </w:t>
      </w:r>
      <w:r w:rsidR="00B4357C" w:rsidRPr="00B4357C">
        <w:rPr>
          <w:i/>
          <w:noProof/>
          <w:color w:val="000000" w:themeColor="text1"/>
        </w:rPr>
        <w:t>et al.</w:t>
      </w:r>
      <w:r w:rsidR="00B4357C" w:rsidRPr="00B4357C">
        <w:rPr>
          <w:noProof/>
          <w:color w:val="000000" w:themeColor="text1"/>
        </w:rPr>
        <w:t>, 2021)</w:t>
      </w:r>
      <w:r w:rsidRPr="00DD0688">
        <w:rPr>
          <w:color w:val="000000" w:themeColor="text1"/>
          <w:lang w:val="fr-FR"/>
        </w:rPr>
        <w:fldChar w:fldCharType="end"/>
      </w:r>
      <w:r>
        <w:t xml:space="preserve">, </w:t>
      </w:r>
      <w:r w:rsidRPr="00DD0688">
        <w:rPr>
          <w:color w:val="000000" w:themeColor="text1"/>
        </w:rPr>
        <w:fldChar w:fldCharType="begin" w:fldLock="1"/>
      </w:r>
      <w:r w:rsidR="0020668B">
        <w:rPr>
          <w:color w:val="000000" w:themeColor="text1"/>
        </w:rPr>
        <w:instrText>ADDIN CSL_CITATION {"citationItems":[{"id":"ITEM-1","itemData":{"DOI":"10.1049/hve.2019.0219","ISSN":"23977264","abstract":"Fluorinated nitrile (C4F7N) gas mixture has been introduced as the most promising candidate to replace sulfur hexafluoride using in gas-insulated equipment. In this study, the authors explored the influence of oxygen on the dielectric and decomposition properties of C4F7N–CO2–O2 gas mixture. The authors found that the dielectric strength of the C4F7N–CO2–O2 gas mixture with 2, 4, 6, 8 and 10% O2 was increased by 4.85%, 6.49%, 7.70%, 3.21% and 2.74% compared with C4F7N–CO2. The addition of 2–6% O2 to the C4F7N–CO2 gas mixture could effectively reduce the content of most of the decomposition byproducts such as CF4, CO, C2F6, C3F6, C3F8, CF3CN, C2F5CN, (CN)2. While high content of oxygen (&gt;6%) results in higher decomposition of C4F7N, which has a negative effect on the stability of C4F7N gas mixture. Generally, it is recommended to add 2–6% O2 in the C4F7N–CO2 gas mixture to improve its insulation properties as well as inhibit the decomposition of C4F7N in the discharge for medium-voltage engineering application.","author":[{"dropping-particle":"","family":"Li","given":"Yi","non-dropping-particle":"","parse-names":false,"suffix":""},{"dropping-particle":"","family":"Zhang","given":"Xiaoxing","non-dropping-particle":"","parse-names":false,"suffix":""},{"dropping-particle":"","family":"Ye","given":"Fanchao","non-dropping-particle":"","parse-names":false,"suffix":""},{"dropping-particle":"","family":"Chen","given":"Dachang","non-dropping-particle":"","parse-names":false,"suffix":""},{"dropping-particle":"","family":"Tian","given":"Shuangshuang","non-dropping-particle":"","parse-names":false,"suffix":""},{"dropping-particle":"","family":"Cui","given":"Zhaolun","non-dropping-particle":"","parse-names":false,"suffix":""}],"container-title":"High Voltage","id":"ITEM-1","issue":"3","issued":{"date-parts":[["2020","6","1"]]},"page":"256-263","publisher":"Institution of Engineering and Technology","title":"Influence regularity of O2 on dielectric and decomposition properties of C4F7N–CO2–O2 gas mixture for medium-voltage equipment","type":"bill","volume":"5"},"uris":["http://www.mendeley.com/documents/?uuid=8741e3b9-ac3d-4357-bd5f-a1e9ce401dc9"]}],"mendeley":{"formattedCitation":"(Li &lt;i&gt;et al.&lt;/i&gt;, 2020)","plainTextFormattedCitation":"(Li et al., 2020)","previouslyFormattedCitation":"(Li &lt;i&gt;et al.&lt;/i&gt;, 2020)"},"properties":{"noteIndex":0},"schema":"https://github.com/citation-style-language/schema/raw/master/csl-citation.json"}</w:instrText>
      </w:r>
      <w:r w:rsidRPr="00DD0688">
        <w:rPr>
          <w:color w:val="000000" w:themeColor="text1"/>
        </w:rPr>
        <w:fldChar w:fldCharType="separate"/>
      </w:r>
      <w:r w:rsidR="0020668B" w:rsidRPr="0020668B">
        <w:rPr>
          <w:noProof/>
          <w:color w:val="000000" w:themeColor="text1"/>
        </w:rPr>
        <w:t xml:space="preserve">(Li </w:t>
      </w:r>
      <w:r w:rsidR="0020668B" w:rsidRPr="0020668B">
        <w:rPr>
          <w:i/>
          <w:noProof/>
          <w:color w:val="000000" w:themeColor="text1"/>
        </w:rPr>
        <w:t>et al.</w:t>
      </w:r>
      <w:r w:rsidR="0020668B" w:rsidRPr="0020668B">
        <w:rPr>
          <w:noProof/>
          <w:color w:val="000000" w:themeColor="text1"/>
        </w:rPr>
        <w:t>, 2020)</w:t>
      </w:r>
      <w:r w:rsidRPr="00DD0688">
        <w:rPr>
          <w:color w:val="000000" w:themeColor="text1"/>
        </w:rPr>
        <w:fldChar w:fldCharType="end"/>
      </w:r>
      <w:r>
        <w:t xml:space="preserve">, </w:t>
      </w:r>
      <w:r w:rsidRPr="00DD0688">
        <w:rPr>
          <w:color w:val="000000" w:themeColor="text1"/>
        </w:rPr>
        <w:fldChar w:fldCharType="begin" w:fldLock="1"/>
      </w:r>
      <w:r w:rsidR="0020668B">
        <w:rPr>
          <w:color w:val="000000" w:themeColor="text1"/>
        </w:rPr>
        <w:instrText>ADDIN CSL_CITATION {"citationItems":[{"id":"ITEM-1","itemData":{"DOI":"10.1063/1.5115588","author":[{"dropping-particle":"","family":"Zhang","given":"Boya","non-dropping-particle":"","parse-names":false,"suffix":""},{"dropping-particle":"","family":"Li","given":"Chenwei","non-dropping-particle":"","parse-names":false,"suffix":""},{"dropping-particle":"","family":"Xiong","given":"Jiayu","non-dropping-particle":"","parse-names":false,"suffix":""},{"dropping-particle":"","family":"Zhang","given":"Ziyue","non-dropping-particle":"","parse-names":false,"suffix":""},{"dropping-particle":"","family":"Li","given":"Xingwen","non-dropping-particle":"","parse-names":false,"suffix":""},{"dropping-particle":"","family":"Deng","given":"Yunkun","non-dropping-particle":"","parse-names":false,"suffix":""}],"container-title":"AIP Advances 9","id":"ITEM-1","issued":{"date-parts":[["2019"]]},"publisher":"AIP Publishing, LLC","title":"Decomposition characteristics of C4F7N/CO2 mixture under AC discharge breakdown","type":"article-journal"},"uris":["http://www.mendeley.com/documents/?uuid=54a69614-269e-4124-be17-97e7f9b8e5a6"]}],"mendeley":{"formattedCitation":"(Zhang &lt;i&gt;et al.&lt;/i&gt;, 2019)","plainTextFormattedCitation":"(Zhang et al., 2019)","previouslyFormattedCitation":"(Zhang &lt;i&gt;et al.&lt;/i&gt;, 2019)"},"properties":{"noteIndex":0},"schema":"https://github.com/citation-style-language/schema/raw/master/csl-citation.json"}</w:instrText>
      </w:r>
      <w:r w:rsidRPr="00DD0688">
        <w:rPr>
          <w:color w:val="000000" w:themeColor="text1"/>
        </w:rPr>
        <w:fldChar w:fldCharType="separate"/>
      </w:r>
      <w:r w:rsidR="00B4357C" w:rsidRPr="00B4357C">
        <w:rPr>
          <w:noProof/>
          <w:color w:val="000000" w:themeColor="text1"/>
        </w:rPr>
        <w:t xml:space="preserve">(Zhang </w:t>
      </w:r>
      <w:r w:rsidR="00B4357C" w:rsidRPr="00B4357C">
        <w:rPr>
          <w:i/>
          <w:noProof/>
          <w:color w:val="000000" w:themeColor="text1"/>
        </w:rPr>
        <w:t>et al.</w:t>
      </w:r>
      <w:r w:rsidR="00B4357C" w:rsidRPr="00B4357C">
        <w:rPr>
          <w:noProof/>
          <w:color w:val="000000" w:themeColor="text1"/>
        </w:rPr>
        <w:t>, 2019)</w:t>
      </w:r>
      <w:r w:rsidRPr="00DD0688">
        <w:rPr>
          <w:color w:val="000000" w:themeColor="text1"/>
        </w:rPr>
        <w:fldChar w:fldCharType="end"/>
      </w:r>
      <w:r>
        <w:t xml:space="preserve">, </w:t>
      </w:r>
      <w:r w:rsidRPr="00DD0688">
        <w:rPr>
          <w:color w:val="000000" w:themeColor="text1"/>
        </w:rPr>
        <w:fldChar w:fldCharType="begin" w:fldLock="1"/>
      </w:r>
      <w:r w:rsidR="0020668B">
        <w:rPr>
          <w:color w:val="000000" w:themeColor="text1"/>
        </w:rPr>
        <w:instrText>ADDIN CSL_CITATION {"citationItems":[{"id":"ITEM-1","itemData":{"DOI":"10.1049/hve2.12233","ISSN":"23977264","abstract":"At present, reports on the arc interruption and decomposition behaviour of a C4F7N/air gas mixture especially the biosafety of its by-products are limited. Herein, a 57% C4F7N/43% air gas mixture was employed as an arc-quenching medium to conduct 200 breaking tests on a load switch (630 A/24 kV). The arc interruption and decomposition behaviour of the gas mixture were evaluated, and the biosafety of the decomposition products was assessed based on an acute inhalation toxicity test. It was found that the average arcing time of the 200 breakings was about 10.1 ms and that breakings were basically completed at the zero-crossing of the second or third current half-cycle. The gas mixture after breaking decomposed dramatically (the C4F7N content decreased by 75.6%), generating a large number of gaseous by-products (CO, CF4, C2F6, C3F8, CF3CN, C4F8, CO2, C4F10N2, C3F6, C2N2, etc.) as well as solid by-products (carbon particles). The lethal concentration (LC50) of 50% (LC50, 4 h) of C4F7N/air after 200 breakings was 31 ppm (male mice) and 34 ppm (female mice), respectively, and the toxicity was classified as Grade 1. In general, C4F7N has an arc interruption capability, albeit weaker than that of SF6 under the same conditions. After breaking, the C4F7N gas mixture has a relatively high acute inhalation toxicity, and relevant safety protection measures for research or operation personnel are strictly needed.","author":[{"dropping-particle":"","family":"Ye","given":"Fanchao","non-dropping-particle":"","parse-names":false,"suffix":""},{"dropping-particle":"","family":"Zhang","given":"Xiaoxing","non-dropping-particle":"","parse-names":false,"suffix":""},{"dropping-particle":"","family":"Li","given":"Yi","non-dropping-particle":"","parse-names":false,"suffix":""},{"dropping-particle":"","family":"Wan","given":"Qianqian","non-dropping-particle":"","parse-names":false,"suffix":""},{"dropping-particle":"","family":"Bauchire","given":"Jean Marc","non-dropping-particle":"","parse-names":false,"suffix":""},{"dropping-particle":"","family":"Hong","given":"Dunpin","non-dropping-particle":"","parse-names":false,"suffix":""},{"dropping-particle":"","family":"Xiao","given":"Song","non-dropping-particle":"","parse-names":false,"suffix":""},{"dropping-particle":"","family":"Tang","given":"Ju","non-dropping-particle":"","parse-names":false,"suffix":""}],"container-title":"High Voltage","id":"ITEM-1","issued":{"date-parts":[["2022"]]},"publisher":"John Wiley and Sons Inc","title":"Arc decomposition behaviour of C4F7N/Air gas mixture and biosafety evaluation of its by-products","type":"article-journal"},"uris":["http://www.mendeley.com/documents/?uuid=ebcad466-2e05-48d3-844c-672284dba8de"]}],"mendeley":{"formattedCitation":"(Ye &lt;i&gt;et al.&lt;/i&gt;, 2022)","plainTextFormattedCitation":"(Ye et al., 2022)","previouslyFormattedCitation":"(Ye &lt;i&gt;et al.&lt;/i&gt;, 2022)"},"properties":{"noteIndex":0},"schema":"https://github.com/citation-style-language/schema/raw/master/csl-citation.json"}</w:instrText>
      </w:r>
      <w:r w:rsidRPr="00DD0688">
        <w:rPr>
          <w:color w:val="000000" w:themeColor="text1"/>
        </w:rPr>
        <w:fldChar w:fldCharType="separate"/>
      </w:r>
      <w:r w:rsidR="00B4357C" w:rsidRPr="00B4357C">
        <w:rPr>
          <w:noProof/>
          <w:color w:val="000000" w:themeColor="text1"/>
        </w:rPr>
        <w:t xml:space="preserve">(Ye </w:t>
      </w:r>
      <w:r w:rsidR="00B4357C" w:rsidRPr="00B4357C">
        <w:rPr>
          <w:i/>
          <w:noProof/>
          <w:color w:val="000000" w:themeColor="text1"/>
        </w:rPr>
        <w:t>et al.</w:t>
      </w:r>
      <w:r w:rsidR="00B4357C" w:rsidRPr="00B4357C">
        <w:rPr>
          <w:noProof/>
          <w:color w:val="000000" w:themeColor="text1"/>
        </w:rPr>
        <w:t>, 2022)</w:t>
      </w:r>
      <w:r w:rsidRPr="00DD0688">
        <w:rPr>
          <w:color w:val="000000" w:themeColor="text1"/>
        </w:rPr>
        <w:fldChar w:fldCharType="end"/>
      </w:r>
      <w:r>
        <w:t xml:space="preserve">. </w:t>
      </w:r>
      <w:r w:rsidRPr="00DD0688">
        <w:rPr>
          <w:color w:val="000000" w:themeColor="text1"/>
        </w:rPr>
        <w:t>Some common byproducts, CF</w:t>
      </w:r>
      <w:r w:rsidRPr="008F39C7">
        <w:rPr>
          <w:color w:val="000000" w:themeColor="text1"/>
          <w:vertAlign w:val="subscript"/>
        </w:rPr>
        <w:t>4</w:t>
      </w:r>
      <w:r w:rsidRPr="00DD0688">
        <w:rPr>
          <w:color w:val="000000" w:themeColor="text1"/>
        </w:rPr>
        <w:t>, C</w:t>
      </w:r>
      <w:r w:rsidRPr="008F39C7">
        <w:rPr>
          <w:color w:val="000000" w:themeColor="text1"/>
          <w:vertAlign w:val="subscript"/>
        </w:rPr>
        <w:t>2</w:t>
      </w:r>
      <w:r w:rsidRPr="00DD0688">
        <w:rPr>
          <w:color w:val="000000" w:themeColor="text1"/>
        </w:rPr>
        <w:t>F</w:t>
      </w:r>
      <w:r w:rsidRPr="008F39C7">
        <w:rPr>
          <w:color w:val="000000" w:themeColor="text1"/>
          <w:vertAlign w:val="subscript"/>
        </w:rPr>
        <w:t>6</w:t>
      </w:r>
      <w:r w:rsidRPr="00DD0688">
        <w:rPr>
          <w:color w:val="000000" w:themeColor="text1"/>
        </w:rPr>
        <w:t>, C</w:t>
      </w:r>
      <w:r w:rsidRPr="008F39C7">
        <w:rPr>
          <w:color w:val="000000" w:themeColor="text1"/>
          <w:vertAlign w:val="subscript"/>
        </w:rPr>
        <w:t>3</w:t>
      </w:r>
      <w:r w:rsidRPr="00DD0688">
        <w:rPr>
          <w:color w:val="000000" w:themeColor="text1"/>
        </w:rPr>
        <w:t>F</w:t>
      </w:r>
      <w:r w:rsidRPr="008F39C7">
        <w:rPr>
          <w:color w:val="000000" w:themeColor="text1"/>
          <w:vertAlign w:val="subscript"/>
        </w:rPr>
        <w:t>8</w:t>
      </w:r>
      <w:r w:rsidRPr="00DD0688">
        <w:rPr>
          <w:color w:val="000000" w:themeColor="text1"/>
        </w:rPr>
        <w:t>, CF</w:t>
      </w:r>
      <w:r w:rsidRPr="008F39C7">
        <w:rPr>
          <w:color w:val="000000" w:themeColor="text1"/>
          <w:vertAlign w:val="subscript"/>
        </w:rPr>
        <w:t>3</w:t>
      </w:r>
      <w:r w:rsidRPr="00DD0688">
        <w:rPr>
          <w:color w:val="000000" w:themeColor="text1"/>
        </w:rPr>
        <w:t>CN, C</w:t>
      </w:r>
      <w:r w:rsidRPr="008F39C7">
        <w:rPr>
          <w:color w:val="000000" w:themeColor="text1"/>
          <w:vertAlign w:val="subscript"/>
        </w:rPr>
        <w:t>2</w:t>
      </w:r>
      <w:r w:rsidRPr="00DD0688">
        <w:rPr>
          <w:color w:val="000000" w:themeColor="text1"/>
        </w:rPr>
        <w:t>F</w:t>
      </w:r>
      <w:r w:rsidRPr="008F39C7">
        <w:rPr>
          <w:color w:val="000000" w:themeColor="text1"/>
          <w:vertAlign w:val="subscript"/>
        </w:rPr>
        <w:t>5</w:t>
      </w:r>
      <w:r w:rsidRPr="00DD0688">
        <w:rPr>
          <w:color w:val="000000" w:themeColor="text1"/>
        </w:rPr>
        <w:t>CN, and COF</w:t>
      </w:r>
      <w:r w:rsidRPr="008F39C7">
        <w:rPr>
          <w:color w:val="000000" w:themeColor="text1"/>
          <w:vertAlign w:val="subscript"/>
        </w:rPr>
        <w:t>2</w:t>
      </w:r>
      <w:r w:rsidRPr="00DD0688">
        <w:rPr>
          <w:color w:val="000000" w:themeColor="text1"/>
        </w:rPr>
        <w:t>, are identified by GC-MS and FTIR technology in different concentrations of g</w:t>
      </w:r>
      <w:r w:rsidRPr="00DD0688">
        <w:rPr>
          <w:color w:val="000000" w:themeColor="text1"/>
          <w:vertAlign w:val="superscript"/>
        </w:rPr>
        <w:t>3</w:t>
      </w:r>
      <w:r w:rsidRPr="00DD0688">
        <w:rPr>
          <w:color w:val="000000" w:themeColor="text1"/>
        </w:rPr>
        <w:t xml:space="preserve"> </w:t>
      </w:r>
      <w:r w:rsidRPr="00DD0688">
        <w:rPr>
          <w:color w:val="000000" w:themeColor="text1"/>
        </w:rPr>
        <w:lastRenderedPageBreak/>
        <w:t>gaseous blend. However, the interaction of fluoronitrile (C</w:t>
      </w:r>
      <w:r w:rsidR="008F39C7" w:rsidRPr="008F39C7">
        <w:rPr>
          <w:color w:val="000000" w:themeColor="text1"/>
          <w:vertAlign w:val="subscript"/>
        </w:rPr>
        <w:t>4</w:t>
      </w:r>
      <w:r w:rsidR="008F39C7">
        <w:rPr>
          <w:color w:val="000000" w:themeColor="text1"/>
        </w:rPr>
        <w:t>F</w:t>
      </w:r>
      <w:r w:rsidR="008F39C7" w:rsidRPr="008F39C7">
        <w:rPr>
          <w:color w:val="000000" w:themeColor="text1"/>
          <w:vertAlign w:val="subscript"/>
        </w:rPr>
        <w:t>7</w:t>
      </w:r>
      <w:r w:rsidRPr="00DD0688">
        <w:rPr>
          <w:color w:val="000000" w:themeColor="text1"/>
        </w:rPr>
        <w:t>N) with water results in distinct byproducts and points out the various kinds of crystals after the aging for a certain period.</w:t>
      </w:r>
    </w:p>
    <w:p w14:paraId="608EB8C9" w14:textId="77777777" w:rsidR="00B061B8" w:rsidRPr="007D2726" w:rsidRDefault="00B061B8" w:rsidP="007D2726">
      <w:pPr>
        <w:pStyle w:val="ListParagraph"/>
        <w:ind w:left="0"/>
        <w:rPr>
          <w:rFonts w:asciiTheme="minorHAnsi" w:hAnsiTheme="minorHAnsi"/>
          <w:sz w:val="22"/>
          <w:lang w:val="en-US"/>
        </w:rPr>
      </w:pPr>
    </w:p>
    <w:p w14:paraId="33C77E0B" w14:textId="51A20389" w:rsidR="00DD0688" w:rsidRDefault="00DD0688" w:rsidP="007D2726">
      <w:pPr>
        <w:pStyle w:val="ListParagraph"/>
        <w:ind w:left="0"/>
        <w:rPr>
          <w:color w:val="000000" w:themeColor="text1"/>
        </w:rPr>
      </w:pPr>
      <w:r>
        <w:t xml:space="preserve">Recently, Siemens Energy </w:t>
      </w:r>
      <w:r w:rsidRPr="00DD0688">
        <w:rPr>
          <w:color w:val="000000" w:themeColor="text1"/>
        </w:rPr>
        <w:fldChar w:fldCharType="begin" w:fldLock="1"/>
      </w:r>
      <w:r w:rsidR="0020668B">
        <w:rPr>
          <w:color w:val="000000" w:themeColor="text1"/>
        </w:rPr>
        <w:instrText>ADDIN CSL_CITATION {"citationItems":[{"id":"ITEM-1","itemData":{"author":[{"dropping-particle":"","family":"JUHRE","given":"Karsten.","non-dropping-particle":"","parse-names":false,"suffix":""},{"dropping-particle":"","family":"GLAUE","given":"Andreas.","non-dropping-particle":"","parse-names":false,"suffix":""},{"dropping-particle":"","family":"Hansgeorg","given":"HAUPT.","non-dropping-particle":"","parse-names":false,"suffix":""},{"dropping-particle":"","family":"KESSLER","given":"Florian.","non-dropping-particle":"","parse-names":false,"suffix":""}],"container-title":"Conseil international des grands réseaux électriques (CIGRE)","id":"ITEM-1","issued":{"date-parts":[["2023"]]},"title":"Long-term performance and decomposition of Fluoronitrile-containing gas mixtures in gas-insulated systems","type":"article-journal","volume":"124"},"uris":["http://www.mendeley.com/documents/?uuid=c41b255b-3b39-43a2-8678-abdbd7a9c6e7"]}],"mendeley":{"formattedCitation":"(JUHRE &lt;i&gt;et al.&lt;/i&gt;, 2023)","plainTextFormattedCitation":"(JUHRE et al., 2023)","previouslyFormattedCitation":"(JUHRE &lt;i&gt;et al.&lt;/i&gt;, 2023)"},"properties":{"noteIndex":0},"schema":"https://github.com/citation-style-language/schema/raw/master/csl-citation.json"}</w:instrText>
      </w:r>
      <w:r w:rsidRPr="00DD0688">
        <w:rPr>
          <w:color w:val="000000" w:themeColor="text1"/>
        </w:rPr>
        <w:fldChar w:fldCharType="separate"/>
      </w:r>
      <w:r w:rsidR="00B4357C" w:rsidRPr="00B4357C">
        <w:rPr>
          <w:noProof/>
          <w:color w:val="000000" w:themeColor="text1"/>
        </w:rPr>
        <w:t xml:space="preserve">(JUHRE </w:t>
      </w:r>
      <w:r w:rsidR="00B4357C" w:rsidRPr="00B4357C">
        <w:rPr>
          <w:i/>
          <w:noProof/>
          <w:color w:val="000000" w:themeColor="text1"/>
        </w:rPr>
        <w:t>et al.</w:t>
      </w:r>
      <w:r w:rsidR="00B4357C" w:rsidRPr="00B4357C">
        <w:rPr>
          <w:noProof/>
          <w:color w:val="000000" w:themeColor="text1"/>
        </w:rPr>
        <w:t>, 2023)</w:t>
      </w:r>
      <w:r w:rsidRPr="00DD0688">
        <w:rPr>
          <w:color w:val="000000" w:themeColor="text1"/>
        </w:rPr>
        <w:fldChar w:fldCharType="end"/>
      </w:r>
      <w:r>
        <w:t xml:space="preserve"> and Hitachi Energy </w:t>
      </w:r>
      <w:r w:rsidRPr="00DD0688">
        <w:rPr>
          <w:color w:val="000000" w:themeColor="text1"/>
        </w:rPr>
        <w:fldChar w:fldCharType="begin" w:fldLock="1"/>
      </w:r>
      <w:r w:rsidR="0020668B">
        <w:rPr>
          <w:color w:val="000000" w:themeColor="text1"/>
        </w:rPr>
        <w:instrText>ADDIN CSL_CITATION {"citationItems":[{"id":"ITEM-1","itemData":{"author":[{"dropping-particle":"","family":"Donzel","given":"Lise","non-dropping-particle":"","parse-names":false,"suffix":""},{"dropping-particle":"","family":"Buffoni","given":"Saskia","non-dropping-particle":"","parse-names":false,"suffix":""},{"dropping-particle":"","family":"Krawczyk","given":"Pawel","non-dropping-particle":"","parse-names":false,"suffix":""},{"dropping-particle":"","family":"Gatzsche","given":"Michael","non-dropping-particle":"","parse-names":false,"suffix":""}],"container-title":"Conseil international des grands réseaux électriques (CIGRE)","id":"ITEM-1","issued":{"date-parts":[["2024"]]},"title":"Chemistry of C4-FN gas mixtures and application in high-voltage equipment","type":"article-journal"},"uris":["http://www.mendeley.com/documents/?uuid=bacbf73d-59a6-4812-a8b2-31929de45b7f"]}],"mendeley":{"formattedCitation":"(Donzel &lt;i&gt;et al.&lt;/i&gt;, 2024)","plainTextFormattedCitation":"(Donzel et al., 2024)","previouslyFormattedCitation":"(Donzel &lt;i&gt;et al.&lt;/i&gt;, 2024)"},"properties":{"noteIndex":0},"schema":"https://github.com/citation-style-language/schema/raw/master/csl-citation.json"}</w:instrText>
      </w:r>
      <w:r w:rsidRPr="00DD0688">
        <w:rPr>
          <w:color w:val="000000" w:themeColor="text1"/>
        </w:rPr>
        <w:fldChar w:fldCharType="separate"/>
      </w:r>
      <w:r w:rsidR="00B4357C" w:rsidRPr="00B4357C">
        <w:rPr>
          <w:noProof/>
          <w:color w:val="000000" w:themeColor="text1"/>
        </w:rPr>
        <w:t xml:space="preserve">(Donzel </w:t>
      </w:r>
      <w:r w:rsidR="00B4357C" w:rsidRPr="00B4357C">
        <w:rPr>
          <w:i/>
          <w:noProof/>
          <w:color w:val="000000" w:themeColor="text1"/>
        </w:rPr>
        <w:t>et al.</w:t>
      </w:r>
      <w:r w:rsidR="00B4357C" w:rsidRPr="00B4357C">
        <w:rPr>
          <w:noProof/>
          <w:color w:val="000000" w:themeColor="text1"/>
        </w:rPr>
        <w:t>, 2024)</w:t>
      </w:r>
      <w:r w:rsidRPr="00DD0688">
        <w:rPr>
          <w:color w:val="000000" w:themeColor="text1"/>
        </w:rPr>
        <w:fldChar w:fldCharType="end"/>
      </w:r>
      <w:r w:rsidRPr="00DD0688">
        <w:rPr>
          <w:color w:val="000000" w:themeColor="text1"/>
        </w:rPr>
        <w:t xml:space="preserve"> </w:t>
      </w:r>
      <w:r>
        <w:t>conducted the experimental study to deeply understand the crystal generation phenomena with fluoronitrile and humidity and also explore the catalytic effect of various kinds of desiccants. Different shapes of crystals, including amide and dimer, are noticed at the end of long-term tests in GIS/GIL with a g</w:t>
      </w:r>
      <w:r w:rsidRPr="00180598">
        <w:rPr>
          <w:vertAlign w:val="superscript"/>
        </w:rPr>
        <w:t>3</w:t>
      </w:r>
      <w:r>
        <w:t xml:space="preserve"> gas mixture. Donzel et al.,</w:t>
      </w:r>
      <w:r w:rsidR="00BF031C">
        <w:t xml:space="preserve"> (2024)</w:t>
      </w:r>
      <w:r>
        <w:t xml:space="preserve"> </w:t>
      </w:r>
      <w:r w:rsidRPr="00DD0688">
        <w:rPr>
          <w:color w:val="000000" w:themeColor="text1"/>
        </w:rPr>
        <w:fldChar w:fldCharType="begin" w:fldLock="1"/>
      </w:r>
      <w:r w:rsidR="0020668B">
        <w:rPr>
          <w:color w:val="000000" w:themeColor="text1"/>
        </w:rPr>
        <w:instrText>ADDIN CSL_CITATION {"citationItems":[{"id":"ITEM-1","itemData":{"author":[{"dropping-particle":"","family":"Donzel","given":"Lise","non-dropping-particle":"","parse-names":false,"suffix":""},{"dropping-particle":"","family":"Buffoni","given":"Saskia","non-dropping-particle":"","parse-names":false,"suffix":""},{"dropping-particle":"","family":"Krawczyk","given":"Pawel","non-dropping-particle":"","parse-names":false,"suffix":""},{"dropping-particle":"","family":"Gatzsche","given":"Michael","non-dropping-particle":"","parse-names":false,"suffix":""}],"container-title":"Conseil international des grands réseaux électriques (CIGRE)","id":"ITEM-1","issued":{"date-parts":[["2024"]]},"title":"Chemistry of C4-FN gas mixtures and application in high-voltage equipment","type":"article-journal"},"uris":["http://www.mendeley.com/documents/?uuid=bacbf73d-59a6-4812-a8b2-31929de45b7f"]}],"mendeley":{"formattedCitation":"(Donzel &lt;i&gt;et al.&lt;/i&gt;, 2024)","plainTextFormattedCitation":"(Donzel et al., 2024)","previouslyFormattedCitation":"(Donzel &lt;i&gt;et al.&lt;/i&gt;, 2024)"},"properties":{"noteIndex":0},"schema":"https://github.com/citation-style-language/schema/raw/master/csl-citation.json"}</w:instrText>
      </w:r>
      <w:r w:rsidRPr="00DD0688">
        <w:rPr>
          <w:color w:val="000000" w:themeColor="text1"/>
        </w:rPr>
        <w:fldChar w:fldCharType="separate"/>
      </w:r>
      <w:r w:rsidR="00B4357C" w:rsidRPr="00B4357C">
        <w:rPr>
          <w:noProof/>
          <w:color w:val="000000" w:themeColor="text1"/>
        </w:rPr>
        <w:t xml:space="preserve">(Donzel </w:t>
      </w:r>
      <w:r w:rsidR="00B4357C" w:rsidRPr="00B4357C">
        <w:rPr>
          <w:i/>
          <w:noProof/>
          <w:color w:val="000000" w:themeColor="text1"/>
        </w:rPr>
        <w:t>et al.</w:t>
      </w:r>
      <w:r w:rsidR="00B4357C" w:rsidRPr="00B4357C">
        <w:rPr>
          <w:noProof/>
          <w:color w:val="000000" w:themeColor="text1"/>
        </w:rPr>
        <w:t>, 2024)</w:t>
      </w:r>
      <w:r w:rsidRPr="00DD0688">
        <w:rPr>
          <w:color w:val="000000" w:themeColor="text1"/>
        </w:rPr>
        <w:fldChar w:fldCharType="end"/>
      </w:r>
      <w:r w:rsidRPr="00DD0688">
        <w:rPr>
          <w:color w:val="000000" w:themeColor="text1"/>
        </w:rPr>
        <w:t xml:space="preserve"> confirmed the melting points of amide (flakes-like crystals) and dimer (needle-like crystals) are 53 °C and 136 °C, respectively, by DSC measurement. Instead of removing or minimizing the humidity in the system, the desiccant also acts as a catalyst to accelerate the growth of crystals. Gao</w:t>
      </w:r>
      <w:r w:rsidR="00785E6C">
        <w:rPr>
          <w:color w:val="000000" w:themeColor="text1"/>
        </w:rPr>
        <w:t xml:space="preserve"> et al., (2022)</w:t>
      </w:r>
      <w:r w:rsidRPr="00DD0688">
        <w:rPr>
          <w:color w:val="000000" w:themeColor="text1"/>
        </w:rPr>
        <w:t xml:space="preserve"> </w:t>
      </w:r>
      <w:r w:rsidRPr="00DD0688">
        <w:rPr>
          <w:color w:val="000000" w:themeColor="text1"/>
        </w:rPr>
        <w:fldChar w:fldCharType="begin" w:fldLock="1"/>
      </w:r>
      <w:r w:rsidR="0020668B">
        <w:rPr>
          <w:color w:val="000000" w:themeColor="text1"/>
        </w:rPr>
        <w:instrText>ADDIN CSL_CITATION {"citationItems":[{"id":"ITEM-1","itemData":{"DOI":"10.1109/TDEI.2022.3146460","ISSN":"15584135","abstract":"Recent studies suggest that C4F7N/CO2 gas mixture is a promising and eco-friendly sulfur hexafluoride (SF6) alternative with a much lower global warming potential (GWP). In gas-insulated apparatuses such as switchgear, besides the insulating gas and the metal parts, nonmetallic materials also play an important role in insulation, load bearing, sealing, environmental control, and so on. Materials compatibility study thus becomes essential to ensure the successful adoption of SF6-free gas-insulated apparatuses. In this study, to carry out the aging process and evaluate the compatibility of each material, special glass cells with in situ dielectric strength testing capability are designed and employed, with significantly improved gas tightness and process variation control. Five typical materials in direct contact with the insulating gas in medium-voltage switchgear, namely zeolite molecular sieves, polycarbonate (PC), perfluoroalkoxy alkane (PFA), polymethyl methacrylate (PMMA), and nitrile O-ring, are selected for long-term thermal aging with the C4F7N /CO2 gas mixture for up to nine months. In addition, the aged gas mixtures and material samples are analyzed by a combination of characterization techniques. Experimental results show that the C4F7N /CO2 gas mixture remains stable during long-term thermal aging and has the potential to replace SF6 as the insulating gas medium. This study also shows that the concerns about material compatibility in the application of alternative insulating gases cannot be ignored as materials studied exhibit different levels of compatibility after aging. While PC and PFA are proved to be well compatible with the C4F7N /CO2 gas mixture, evidence of incompatibility is observed in the cases of zeolite molecular sieves, PMMA, and nitrile O-ring. Care must be taken in choosing more compatible materials after extensive compatibility and aging studies.","author":[{"dropping-particle":"","family":"Gao","given":"Wenqiang","non-dropping-particle":"","parse-names":false,"suffix":""},{"dropping-particle":"","family":"Cao","given":"Yang","non-dropping-particle":"","parse-names":false,"suffix":""},{"dropping-particle":"","family":"Wang","given":"Yifei","non-dropping-particle":"","parse-names":false,"suffix":""},{"dropping-particle":"","family":"Price","given":"Capri","non-dropping-particle":"","parse-names":false,"suffix":""},{"dropping-particle":"","family":"Ronzello","given":"Joanne","non-dropping-particle":"","parse-names":false,"suffix":""},{"dropping-particle":"","family":"Uzelac","given":"Nenad","non-dropping-particle":"","parse-names":false,"suffix":""},{"dropping-particle":"","family":"Laso","given":"Andres","non-dropping-particle":"","parse-names":false,"suffix":""},{"dropping-particle":"","family":"Tefferi","given":"Mattewos","non-dropping-particle":"","parse-names":false,"suffix":""},{"dropping-particle":"","family":"Darko","given":"Kennedy","non-dropping-particle":"","parse-names":false,"suffix":""}],"container-title":"IEEE Transactions on Dielectrics and Electrical Insulation","id":"ITEM-1","issue":"1","issued":{"date-parts":[["2022","2","1"]]},"page":"270-278","publisher":"Institute of Electrical and Electronics Engineers Inc.","title":"Materials Compatibility Study of C4F7N/CO2Gas Mixture for Medium-Voltage Switchgear","type":"article-journal","volume":"29"},"uris":["http://www.mendeley.com/documents/?uuid=7d21e447-8f4f-3a20-a1e4-ecf19e38527d"]}],"mendeley":{"formattedCitation":"(Gao &lt;i&gt;et al.&lt;/i&gt;, 2022)","plainTextFormattedCitation":"(Gao et al., 2022)","previouslyFormattedCitation":"(Gao &lt;i&gt;et al.&lt;/i&gt;, 2022)"},"properties":{"noteIndex":0},"schema":"https://github.com/citation-style-language/schema/raw/master/csl-citation.json"}</w:instrText>
      </w:r>
      <w:r w:rsidRPr="00DD0688">
        <w:rPr>
          <w:color w:val="000000" w:themeColor="text1"/>
        </w:rPr>
        <w:fldChar w:fldCharType="separate"/>
      </w:r>
      <w:r w:rsidR="00B4357C" w:rsidRPr="00B4357C">
        <w:rPr>
          <w:noProof/>
          <w:color w:val="000000" w:themeColor="text1"/>
        </w:rPr>
        <w:t xml:space="preserve">(Gao </w:t>
      </w:r>
      <w:r w:rsidR="00B4357C" w:rsidRPr="00B4357C">
        <w:rPr>
          <w:i/>
          <w:noProof/>
          <w:color w:val="000000" w:themeColor="text1"/>
        </w:rPr>
        <w:t>et al.</w:t>
      </w:r>
      <w:r w:rsidR="00B4357C" w:rsidRPr="00B4357C">
        <w:rPr>
          <w:noProof/>
          <w:color w:val="000000" w:themeColor="text1"/>
        </w:rPr>
        <w:t>, 2022)</w:t>
      </w:r>
      <w:r w:rsidRPr="00DD0688">
        <w:rPr>
          <w:color w:val="000000" w:themeColor="text1"/>
        </w:rPr>
        <w:fldChar w:fldCharType="end"/>
      </w:r>
      <w:r w:rsidRPr="00DD0688">
        <w:rPr>
          <w:color w:val="000000" w:themeColor="text1"/>
        </w:rPr>
        <w:t xml:space="preserve"> and his team proposed the 4 </w:t>
      </w:r>
      <w:r w:rsidRPr="00DD0688">
        <w:rPr>
          <w:rFonts w:cstheme="minorHAnsi"/>
          <w:color w:val="000000" w:themeColor="text1"/>
        </w:rPr>
        <w:t>Å</w:t>
      </w:r>
      <w:r w:rsidRPr="00DD0688">
        <w:rPr>
          <w:color w:val="000000" w:themeColor="text1"/>
        </w:rPr>
        <w:t xml:space="preserve"> organic desiccant (CAS: 70955-01-0 ) as an alternative over the zeolite; though, experimental stu</w:t>
      </w:r>
      <w:r w:rsidRPr="00457EDC">
        <w:rPr>
          <w:color w:val="000000" w:themeColor="text1"/>
        </w:rPr>
        <w:t xml:space="preserve">dy close to industrial condition is still needed to benchmark the desiccants. Apart from the experimental work, </w:t>
      </w:r>
      <w:r w:rsidRPr="00457EDC">
        <w:t xml:space="preserve">Berteloot et al, state the chemical reaction mechanism of fluoronitrile hydrolysis in which different kinds of byproducts are generated, including </w:t>
      </w:r>
      <w:r w:rsidRPr="00457EDC">
        <w:rPr>
          <w:color w:val="000000" w:themeColor="text1"/>
        </w:rPr>
        <w:t>amid (C</w:t>
      </w:r>
      <w:r w:rsidRPr="00457EDC">
        <w:rPr>
          <w:color w:val="000000" w:themeColor="text1"/>
          <w:vertAlign w:val="subscript"/>
        </w:rPr>
        <w:t>4</w:t>
      </w:r>
      <w:r w:rsidRPr="00457EDC">
        <w:rPr>
          <w:color w:val="000000" w:themeColor="text1"/>
        </w:rPr>
        <w:t>H</w:t>
      </w:r>
      <w:r w:rsidRPr="00457EDC">
        <w:rPr>
          <w:color w:val="000000" w:themeColor="text1"/>
          <w:vertAlign w:val="subscript"/>
        </w:rPr>
        <w:t>2</w:t>
      </w:r>
      <w:r w:rsidRPr="00457EDC">
        <w:rPr>
          <w:color w:val="000000" w:themeColor="text1"/>
        </w:rPr>
        <w:t>F</w:t>
      </w:r>
      <w:r w:rsidRPr="00457EDC">
        <w:rPr>
          <w:color w:val="000000" w:themeColor="text1"/>
          <w:vertAlign w:val="subscript"/>
        </w:rPr>
        <w:t>7</w:t>
      </w:r>
      <w:r w:rsidRPr="00457EDC">
        <w:rPr>
          <w:color w:val="000000" w:themeColor="text1"/>
        </w:rPr>
        <w:t>NO)</w:t>
      </w:r>
      <w:r w:rsidR="007B7B63">
        <w:rPr>
          <w:color w:val="000000" w:themeColor="text1"/>
        </w:rPr>
        <w:t xml:space="preserve"> and </w:t>
      </w:r>
      <w:r w:rsidRPr="00457EDC">
        <w:rPr>
          <w:color w:val="000000" w:themeColor="text1"/>
        </w:rPr>
        <w:t>dimer (C</w:t>
      </w:r>
      <w:r w:rsidRPr="00457EDC">
        <w:rPr>
          <w:color w:val="000000" w:themeColor="text1"/>
          <w:vertAlign w:val="subscript"/>
        </w:rPr>
        <w:t>8</w:t>
      </w:r>
      <w:r w:rsidRPr="00457EDC">
        <w:rPr>
          <w:color w:val="000000" w:themeColor="text1"/>
        </w:rPr>
        <w:t>H</w:t>
      </w:r>
      <w:r w:rsidRPr="00457EDC">
        <w:rPr>
          <w:color w:val="000000" w:themeColor="text1"/>
          <w:vertAlign w:val="subscript"/>
        </w:rPr>
        <w:t>2</w:t>
      </w:r>
      <w:r w:rsidRPr="00457EDC">
        <w:rPr>
          <w:color w:val="000000" w:themeColor="text1"/>
        </w:rPr>
        <w:t>F</w:t>
      </w:r>
      <w:r w:rsidRPr="00457EDC">
        <w:rPr>
          <w:color w:val="000000" w:themeColor="text1"/>
          <w:vertAlign w:val="subscript"/>
        </w:rPr>
        <w:t>14</w:t>
      </w:r>
      <w:r w:rsidRPr="00457EDC">
        <w:rPr>
          <w:color w:val="000000" w:themeColor="text1"/>
        </w:rPr>
        <w:t>N</w:t>
      </w:r>
      <w:r w:rsidRPr="00457EDC">
        <w:rPr>
          <w:color w:val="000000" w:themeColor="text1"/>
          <w:vertAlign w:val="subscript"/>
        </w:rPr>
        <w:t>2</w:t>
      </w:r>
      <w:r w:rsidRPr="00457EDC">
        <w:rPr>
          <w:color w:val="000000" w:themeColor="text1"/>
        </w:rPr>
        <w:t>O),</w:t>
      </w:r>
      <w:r w:rsidR="007B7B63">
        <w:rPr>
          <w:color w:val="000000" w:themeColor="text1"/>
        </w:rPr>
        <w:t xml:space="preserve"> </w:t>
      </w:r>
      <w:r w:rsidRPr="00457EDC">
        <w:rPr>
          <w:color w:val="000000" w:themeColor="text1"/>
        </w:rPr>
        <w:t>molecule</w:t>
      </w:r>
      <w:r w:rsidR="007B7B63">
        <w:rPr>
          <w:color w:val="000000" w:themeColor="text1"/>
        </w:rPr>
        <w:t>s</w:t>
      </w:r>
      <w:r w:rsidRPr="00457EDC">
        <w:rPr>
          <w:color w:val="000000" w:themeColor="text1"/>
        </w:rPr>
        <w:t xml:space="preserve"> </w:t>
      </w:r>
      <w:r w:rsidRPr="00457EDC">
        <w:rPr>
          <w:color w:val="000000" w:themeColor="text1"/>
        </w:rPr>
        <w:fldChar w:fldCharType="begin" w:fldLock="1"/>
      </w:r>
      <w:r w:rsidR="0020668B" w:rsidRPr="00457EDC">
        <w:rPr>
          <w:color w:val="000000" w:themeColor="text1"/>
        </w:rPr>
        <w:instrText>ADDIN CSL_CITATION {"citationItems":[{"id":"ITEM-1","itemData":{"abstract":"SF6 is the main insulating and interrupting medium used in high voltage switchgear. It has excellent dielectric, thermal, and arc quenching properties. However, SF6 is also the most potent greenhouse gas and its use in high voltage equipment results in non-negligible emissions in the atmosphere. To replace SF6 in high voltage switchgear, C4-FN gas mixtures, where C4-FN (C4F7N) is mixed with O2, CO2 and/or N2, are being developed and installed all over the world. C4-FN gas mixtures technology maintain the dimensional footprint and performances of SF6 equipment while drastically reducing their total carbon footprint. This paper deals with long-term chemical and physical phenomena to assess the performance of the equipment over its service lifespan. To go more into details, the effect of gravity on gas composition homogeneity was studied. After a three-year standstill period on a 4 m high outdoor mock-up, there was no effect from gravity and the gas mixture stayed homogeneous following the theoretical expectations. Then, the effect of humidity on C4-FN mixtures that can result in the creation of solid by-products was investigated and this paper summarizes the current know-how. In accordance with the literature, it is shown that the hydrolysis of C4-FN is linked to the temperature and humidity of the gas. On top of that, two long-term ageing tests performed on a real equipment under voltage showed that the use of correct materials is key regarding the formation of said by-products. Without proper consideration of the material, important quantity of said solid by-products can be found. However, using specifically developed materials significantly reduced their quantity. In any case, no dielectric event occurred during two the long-term ageing tests. Later, two different dielectric tests were performed with such solid by-products to investigate their effect on dielectric performance. Solid by-products placed at various places on an insulator were observed moving towards the low electric field areas during a power frequency test. No partial discharge activity was recorded during that time. Additionally, a set of investigations compared the mean power frequency breakdown voltages without particles, with two types of solid by-products and with metallic particles. There was no impact on breakdown mean value with solid by-products from C4-FN hydrolysis while the addition of metallic particles decreased the withstand by more than 50%. It was concluded that the by-p…","author":[{"dropping-particle":"","family":"Berteloot","given":"T","non-dropping-particle":"","parse-names":false,"suffix":""},{"dropping-particle":"","family":"Perret","given":"M","non-dropping-particle":"","parse-names":false,"suffix":""},{"dropping-particle":"","family":"Valledor-mera","given":"D","non-dropping-particle":"","parse-names":false,"suffix":""},{"dropping-particle":"","family":"Nichele","given":"S","non-dropping-particle":"","parse-names":false,"suffix":""},{"dropping-particle":"","family":"Kieffel","given":"Y","non-dropping-particle":"","parse-names":false,"suffix":""},{"dropping-particle":"","family":"Oesterheld","given":"J","non-dropping-particle":"","parse-names":false,"suffix":""},{"dropping-particle":"","family":"Electric","given":"General","non-dropping-particle":"","parse-names":false,"suffix":""}],"container-title":"General Electric","id":"ITEM-1","issued":{"date-parts":[["0"]]},"title":"LONG-TERM BEHAVIOUR OF C4-FN MIXTURES IN HIGH-VOLTAGE EQUIPMENT","type":"paper-conference"},"uris":["http://www.mendeley.com/documents/?uuid=f1c563fa-fbf0-3903-8b5b-c02fdf5b5ecb"]}],"mendeley":{"formattedCitation":"(Berteloot &lt;i&gt;et al.&lt;/i&gt;, no date)","plainTextFormattedCitation":"(Berteloot et al., no date)","previouslyFormattedCitation":"(Berteloot &lt;i&gt;et al.&lt;/i&gt;, no date)"},"properties":{"noteIndex":0},"schema":"https://github.com/citation-style-language/schema/raw/master/csl-citation.json"}</w:instrText>
      </w:r>
      <w:r w:rsidRPr="00457EDC">
        <w:rPr>
          <w:color w:val="000000" w:themeColor="text1"/>
        </w:rPr>
        <w:fldChar w:fldCharType="separate"/>
      </w:r>
      <w:r w:rsidR="00B4357C" w:rsidRPr="00457EDC">
        <w:rPr>
          <w:noProof/>
          <w:color w:val="000000" w:themeColor="text1"/>
        </w:rPr>
        <w:t xml:space="preserve">(Berteloot </w:t>
      </w:r>
      <w:r w:rsidR="00B4357C" w:rsidRPr="00457EDC">
        <w:rPr>
          <w:i/>
          <w:noProof/>
          <w:color w:val="000000" w:themeColor="text1"/>
        </w:rPr>
        <w:t>et al.</w:t>
      </w:r>
      <w:r w:rsidR="00B4357C" w:rsidRPr="00457EDC">
        <w:rPr>
          <w:noProof/>
          <w:color w:val="000000" w:themeColor="text1"/>
        </w:rPr>
        <w:t>, no date)</w:t>
      </w:r>
      <w:r w:rsidRPr="00457EDC">
        <w:rPr>
          <w:color w:val="000000" w:themeColor="text1"/>
        </w:rPr>
        <w:fldChar w:fldCharType="end"/>
      </w:r>
      <w:r w:rsidRPr="00457EDC">
        <w:rPr>
          <w:color w:val="000000" w:themeColor="text1"/>
        </w:rPr>
        <w:t>.</w:t>
      </w:r>
      <w:r w:rsidRPr="00DD0688">
        <w:rPr>
          <w:color w:val="000000" w:themeColor="text1"/>
        </w:rPr>
        <w:t xml:space="preserve"> Additionally, some initial reactions are also specified in the Siemens Energy CIGRE 2022 paper </w:t>
      </w:r>
      <w:r w:rsidRPr="00DD0688">
        <w:rPr>
          <w:color w:val="000000" w:themeColor="text1"/>
        </w:rPr>
        <w:fldChar w:fldCharType="begin" w:fldLock="1"/>
      </w:r>
      <w:r w:rsidR="0020668B">
        <w:rPr>
          <w:color w:val="000000" w:themeColor="text1"/>
        </w:rPr>
        <w:instrText>ADDIN CSL_CITATION {"citationItems":[{"id":"ITEM-1","itemData":{"author":[{"dropping-particle":"","family":"JUHRE","given":"Karsten.","non-dropping-particle":"","parse-names":false,"suffix":""},{"dropping-particle":"","family":"GLAUE","given":"Andreas.","non-dropping-particle":"","parse-names":false,"suffix":""},{"dropping-particle":"","family":"Hansgeorg","given":"HAUPT.","non-dropping-particle":"","parse-names":false,"suffix":""},{"dropping-particle":"","family":"KESSLER","given":"Florian.","non-dropping-particle":"","parse-names":false,"suffix":""}],"container-title":"Conseil international des grands réseaux électriques (CIGRE)","id":"ITEM-1","issued":{"date-parts":[["2023"]]},"title":"Long-term performance and decomposition of Fluoronitrile-containing gas mixtures in gas-insulated systems","type":"article-journal","volume":"124"},"uris":["http://www.mendeley.com/documents/?uuid=c41b255b-3b39-43a2-8678-abdbd7a9c6e7"]}],"mendeley":{"formattedCitation":"(JUHRE &lt;i&gt;et al.&lt;/i&gt;, 2023)","plainTextFormattedCitation":"(JUHRE et al., 2023)","previouslyFormattedCitation":"(JUHRE &lt;i&gt;et al.&lt;/i&gt;, 2023)"},"properties":{"noteIndex":0},"schema":"https://github.com/citation-style-language/schema/raw/master/csl-citation.json"}</w:instrText>
      </w:r>
      <w:r w:rsidRPr="00DD0688">
        <w:rPr>
          <w:color w:val="000000" w:themeColor="text1"/>
        </w:rPr>
        <w:fldChar w:fldCharType="separate"/>
      </w:r>
      <w:r w:rsidR="00B4357C" w:rsidRPr="00B4357C">
        <w:rPr>
          <w:noProof/>
          <w:color w:val="000000" w:themeColor="text1"/>
        </w:rPr>
        <w:t xml:space="preserve">(JUHRE </w:t>
      </w:r>
      <w:r w:rsidR="00B4357C" w:rsidRPr="00B4357C">
        <w:rPr>
          <w:i/>
          <w:noProof/>
          <w:color w:val="000000" w:themeColor="text1"/>
        </w:rPr>
        <w:t>et al.</w:t>
      </w:r>
      <w:r w:rsidR="00B4357C" w:rsidRPr="00B4357C">
        <w:rPr>
          <w:noProof/>
          <w:color w:val="000000" w:themeColor="text1"/>
        </w:rPr>
        <w:t>, 2023)</w:t>
      </w:r>
      <w:r w:rsidRPr="00DD0688">
        <w:rPr>
          <w:color w:val="000000" w:themeColor="text1"/>
        </w:rPr>
        <w:fldChar w:fldCharType="end"/>
      </w:r>
      <w:r w:rsidRPr="00DD0688">
        <w:rPr>
          <w:color w:val="000000" w:themeColor="text1"/>
        </w:rPr>
        <w:t xml:space="preserve">. </w:t>
      </w:r>
    </w:p>
    <w:p w14:paraId="6CAC4431" w14:textId="77777777" w:rsidR="00B061B8" w:rsidRDefault="00B061B8" w:rsidP="00B061B8">
      <w:pPr>
        <w:pStyle w:val="CETBodytext"/>
        <w:rPr>
          <w:color w:val="000000" w:themeColor="text1"/>
        </w:rPr>
      </w:pPr>
    </w:p>
    <w:p w14:paraId="26D17ABC" w14:textId="7D23EB34" w:rsidR="00F56280" w:rsidRDefault="00DD0688" w:rsidP="00F56280">
      <w:pPr>
        <w:pStyle w:val="CETBodytext"/>
        <w:rPr>
          <w:color w:val="000000" w:themeColor="text1"/>
        </w:rPr>
      </w:pPr>
      <w:r>
        <w:rPr>
          <w:color w:val="000000" w:themeColor="text1"/>
        </w:rPr>
        <w:t>In this study, we conduct a comprehensive simulation of the C</w:t>
      </w:r>
      <w:r w:rsidRPr="00ED4759">
        <w:rPr>
          <w:color w:val="000000" w:themeColor="text1"/>
          <w:vertAlign w:val="subscript"/>
        </w:rPr>
        <w:t>4</w:t>
      </w:r>
      <w:r>
        <w:rPr>
          <w:color w:val="000000" w:themeColor="text1"/>
        </w:rPr>
        <w:t>F</w:t>
      </w:r>
      <w:r w:rsidRPr="00ED4759">
        <w:rPr>
          <w:color w:val="000000" w:themeColor="text1"/>
          <w:vertAlign w:val="subscript"/>
        </w:rPr>
        <w:t>7</w:t>
      </w:r>
      <w:r>
        <w:rPr>
          <w:color w:val="000000" w:themeColor="text1"/>
        </w:rPr>
        <w:t>N hydrolysis reactions using Density Functional Theory (DFT), analyzing, and comparing the Gibbs free energy (∆G) for the reactions involved in the mechanism. The role of water molecule increments affecting the energy barrier in the amide formation process is explored. Additionally, temperature influence up to 3000 K on the Gibbs free energy (∆G) represent as energy barrier is estimated.</w:t>
      </w:r>
    </w:p>
    <w:p w14:paraId="35E6D9B8" w14:textId="11535C22" w:rsidR="00F56280" w:rsidRPr="00F56280" w:rsidRDefault="00F56280" w:rsidP="005E793A">
      <w:pPr>
        <w:pStyle w:val="CETHeading1"/>
      </w:pPr>
      <w:r>
        <w:t>Methodology</w:t>
      </w:r>
    </w:p>
    <w:p w14:paraId="4B2E4117" w14:textId="77777777" w:rsidR="00696EB9" w:rsidRDefault="00696EB9" w:rsidP="00600535">
      <w:pPr>
        <w:pStyle w:val="CETBodytext"/>
        <w:rPr>
          <w:lang w:val="en-GB"/>
        </w:rPr>
      </w:pPr>
    </w:p>
    <w:p w14:paraId="0DAB7D75" w14:textId="0C19BD68" w:rsidR="00F56280" w:rsidRPr="005E793A" w:rsidRDefault="00F56280" w:rsidP="005E793A">
      <w:pPr>
        <w:rPr>
          <w:rFonts w:asciiTheme="minorHAnsi" w:hAnsiTheme="minorHAnsi"/>
          <w:color w:val="FF0000"/>
          <w:sz w:val="22"/>
          <w:lang w:val="en-US"/>
        </w:rPr>
      </w:pPr>
      <w:r>
        <w:rPr>
          <w:color w:val="000000" w:themeColor="text1"/>
        </w:rPr>
        <w:t xml:space="preserve">DFT is one of the most effective tools to provide approximate solutions to the Schrodinger equation, the fundamental equation of quantum mechanics that describes any given chemical system. All the density functional theory (DFT) calculations were performed at the M062X hybrid functional </w:t>
      </w:r>
      <w:r>
        <w:rPr>
          <w:color w:val="000000" w:themeColor="text1"/>
        </w:rPr>
        <w:fldChar w:fldCharType="begin" w:fldLock="1"/>
      </w:r>
      <w:r w:rsidR="0020668B">
        <w:rPr>
          <w:color w:val="000000" w:themeColor="text1"/>
        </w:rPr>
        <w:instrText>ADDIN CSL_CITATION {"citationItems":[{"id":"ITEM-1","itemData":{"DOI":"10.1007/s00214-007-0310-x","author":[{"dropping-particle":"","family":"Zhao","given":"Yan","non-dropping-particle":"","parse-names":false,"suffix":""},{"dropping-particle":"","family":"Truhlar","given":"Donald G","non-dropping-particle":"","parse-names":false,"suffix":""}],"container-title":"Theoretical Chemistry Accounts","id":"ITEM-1","issued":{"date-parts":[["2008"]]},"page":"215-241","title":"The M06 suite of density functionals for main group thermochemistry, thermochemical kinetics, noncovalent interactions, excited states, and transition elements: two new functionals and systematic testing of four M06-class functionals and 12 other function","type":"article-journal","volume":"120"},"uris":["http://www.mendeley.com/documents/?uuid=4c365ae6-4cc7-4155-80f4-0db6e16ef914"]}],"mendeley":{"formattedCitation":"(Zhao and Truhlar, 2008)","plainTextFormattedCitation":"(Zhao and Truhlar, 2008)","previouslyFormattedCitation":"(Zhao and Truhlar, 2008)"},"properties":{"noteIndex":0},"schema":"https://github.com/citation-style-language/schema/raw/master/csl-citation.json"}</w:instrText>
      </w:r>
      <w:r>
        <w:rPr>
          <w:color w:val="000000" w:themeColor="text1"/>
        </w:rPr>
        <w:fldChar w:fldCharType="separate"/>
      </w:r>
      <w:r w:rsidR="00B4357C" w:rsidRPr="00B4357C">
        <w:rPr>
          <w:noProof/>
          <w:color w:val="000000" w:themeColor="text1"/>
        </w:rPr>
        <w:t>(Zhao and Truhlar, 2008)</w:t>
      </w:r>
      <w:r>
        <w:rPr>
          <w:color w:val="000000" w:themeColor="text1"/>
        </w:rPr>
        <w:fldChar w:fldCharType="end"/>
      </w:r>
      <w:r>
        <w:rPr>
          <w:color w:val="000000" w:themeColor="text1"/>
        </w:rPr>
        <w:t xml:space="preserve"> and the combination of 6-311+G(</w:t>
      </w:r>
      <w:proofErr w:type="spellStart"/>
      <w:r>
        <w:rPr>
          <w:color w:val="000000" w:themeColor="text1"/>
        </w:rPr>
        <w:t>d,p</w:t>
      </w:r>
      <w:proofErr w:type="spellEnd"/>
      <w:r>
        <w:rPr>
          <w:color w:val="000000" w:themeColor="text1"/>
        </w:rPr>
        <w:t xml:space="preserve">) basis sets </w:t>
      </w:r>
      <w:r>
        <w:rPr>
          <w:color w:val="000000" w:themeColor="text1"/>
        </w:rPr>
        <w:fldChar w:fldCharType="begin" w:fldLock="1"/>
      </w:r>
      <w:r w:rsidR="0020668B">
        <w:rPr>
          <w:color w:val="000000" w:themeColor="text1"/>
        </w:rPr>
        <w:instrText>ADDIN CSL_CITATION {"citationItems":[{"id":"ITEM-1","itemData":{"DOI":"10.1063/1.438955","abstract":"A contracted Gaussian basis set (6-31IG**) is developed by optimizing exponents and coefficients at the M(iller-Plesset (MP) second-order level for the ground states of first-row atoms. This has a triple split in the valence sand p shells together with a single set of uncontracted polarization functions on each atom. The basis is tested by computing structures and energies for some simple molecules at various levels of MP theory and comparing with experiment.","author":[{"dropping-particle":"","family":"Krishnan","given":"R","non-dropping-particle":"","parse-names":false,"suffix":""},{"dropping-particle":"","family":"Binkley","given":"J S","non-dropping-particle":"","parse-names":false,"suffix":""},{"dropping-particle":"","family":"Seeger","given":"R","non-dropping-particle":"","parse-names":false,"suffix":""},{"dropping-particle":"","family":"Pople","given":"J A","non-dropping-particle":"","parse-names":false,"suffix":""}],"container-title":"Citation: J. Chem. Phys","id":"ITEM-1","issued":{"date-parts":[["1980"]]},"page":"650","title":"Selfconsistent molecular orbital methods. XX. A basis set for correlated wave functions","type":"article-journal","volume":"72"},"uris":["http://www.mendeley.com/documents/?uuid=aff5f717-1fb4-33d5-ae9a-709cc1894774"]}],"mendeley":{"formattedCitation":"(Krishnan &lt;i&gt;et al.&lt;/i&gt;, 1980)","plainTextFormattedCitation":"(Krishnan et al., 1980)","previouslyFormattedCitation":"(Krishnan &lt;i&gt;et al.&lt;/i&gt;, 1980)"},"properties":{"noteIndex":0},"schema":"https://github.com/citation-style-language/schema/raw/master/csl-citation.json"}</w:instrText>
      </w:r>
      <w:r>
        <w:rPr>
          <w:color w:val="000000" w:themeColor="text1"/>
        </w:rPr>
        <w:fldChar w:fldCharType="separate"/>
      </w:r>
      <w:r w:rsidR="00B4357C" w:rsidRPr="00B4357C">
        <w:rPr>
          <w:noProof/>
          <w:color w:val="000000" w:themeColor="text1"/>
        </w:rPr>
        <w:t xml:space="preserve">(Krishnan </w:t>
      </w:r>
      <w:r w:rsidR="00B4357C" w:rsidRPr="00B4357C">
        <w:rPr>
          <w:i/>
          <w:noProof/>
          <w:color w:val="000000" w:themeColor="text1"/>
        </w:rPr>
        <w:t>et al.</w:t>
      </w:r>
      <w:r w:rsidR="00B4357C" w:rsidRPr="00B4357C">
        <w:rPr>
          <w:noProof/>
          <w:color w:val="000000" w:themeColor="text1"/>
        </w:rPr>
        <w:t>, 1980)</w:t>
      </w:r>
      <w:r>
        <w:rPr>
          <w:color w:val="000000" w:themeColor="text1"/>
        </w:rPr>
        <w:fldChar w:fldCharType="end"/>
      </w:r>
      <w:r>
        <w:rPr>
          <w:color w:val="000000" w:themeColor="text1"/>
        </w:rPr>
        <w:t>,</w:t>
      </w:r>
      <w:r w:rsidR="005E793A">
        <w:rPr>
          <w:color w:val="000000" w:themeColor="text1"/>
        </w:rPr>
        <w:t xml:space="preserve"> </w:t>
      </w:r>
      <w:r>
        <w:rPr>
          <w:color w:val="000000" w:themeColor="text1"/>
        </w:rPr>
        <w:fldChar w:fldCharType="begin" w:fldLock="1"/>
      </w:r>
      <w:r w:rsidR="0020668B">
        <w:rPr>
          <w:color w:val="000000" w:themeColor="text1"/>
        </w:rPr>
        <w:instrText>ADDIN CSL_CITATION {"citationItems":[{"id":"ITEM-1","itemData":{"author":[{"dropping-particle":"","family":"Cramer","given":"Christophe J","non-dropping-particle":"","parse-names":false,"suffix":""}],"edition":"Second Edi","id":"ITEM-1","issued":{"date-parts":[["2004"]]},"title":"Essentials of Computational Chemistry","type":"book"},"uris":["http://www.mendeley.com/documents/?uuid=fbc08251-1fb7-4df6-a11a-574dbbc318ce"]}],"mendeley":{"formattedCitation":"(Cramer, 2004)","plainTextFormattedCitation":"(Cramer, 2004)","previouslyFormattedCitation":"(Cramer, 2004)"},"properties":{"noteIndex":0},"schema":"https://github.com/citation-style-language/schema/raw/master/csl-citation.json"}</w:instrText>
      </w:r>
      <w:r>
        <w:rPr>
          <w:color w:val="000000" w:themeColor="text1"/>
        </w:rPr>
        <w:fldChar w:fldCharType="separate"/>
      </w:r>
      <w:r w:rsidR="00B4357C" w:rsidRPr="00B4357C">
        <w:rPr>
          <w:noProof/>
          <w:color w:val="000000" w:themeColor="text1"/>
        </w:rPr>
        <w:t>(Cramer, 2004)</w:t>
      </w:r>
      <w:r>
        <w:rPr>
          <w:color w:val="000000" w:themeColor="text1"/>
        </w:rPr>
        <w:fldChar w:fldCharType="end"/>
      </w:r>
      <w:r>
        <w:rPr>
          <w:color w:val="000000" w:themeColor="text1"/>
        </w:rPr>
        <w:t xml:space="preserve"> for geometry optimization, employed in “Gaussian16” packages </w:t>
      </w:r>
      <w:r>
        <w:rPr>
          <w:color w:val="000000" w:themeColor="text1"/>
        </w:rPr>
        <w:fldChar w:fldCharType="begin" w:fldLock="1"/>
      </w:r>
      <w:r w:rsidR="0020668B">
        <w:rPr>
          <w:color w:val="000000" w:themeColor="text1"/>
        </w:rPr>
        <w:instrText>ADDIN CSL_CITATION {"citationItems":[{"id":"ITEM-1","itemData":{"author":[{"dropping-particle":"","family":"www.gaussian.com","given":"","non-dropping-particle":"","parse-names":false,"suffix":""}],"id":"ITEM-1","issued":{"date-parts":[["0"]]},"title":"No Title","type":"webpage"},"uris":["http://www.mendeley.com/documents/?uuid=cfad7cd7-045f-4377-bbe0-c88ce5990b5a"]}],"mendeley":{"formattedCitation":"(www.gaussian.com, no date)","plainTextFormattedCitation":"(www.gaussian.com, no date)","previouslyFormattedCitation":"(www.gaussian.com, no date)"},"properties":{"noteIndex":0},"schema":"https://github.com/citation-style-language/schema/raw/master/csl-citation.json"}</w:instrText>
      </w:r>
      <w:r>
        <w:rPr>
          <w:color w:val="000000" w:themeColor="text1"/>
        </w:rPr>
        <w:fldChar w:fldCharType="separate"/>
      </w:r>
      <w:r w:rsidR="00B4357C" w:rsidRPr="00B4357C">
        <w:rPr>
          <w:noProof/>
          <w:color w:val="000000" w:themeColor="text1"/>
        </w:rPr>
        <w:t>(www.gaussian.com)</w:t>
      </w:r>
      <w:r>
        <w:rPr>
          <w:color w:val="000000" w:themeColor="text1"/>
        </w:rPr>
        <w:fldChar w:fldCharType="end"/>
      </w:r>
      <w:r>
        <w:rPr>
          <w:color w:val="000000" w:themeColor="text1"/>
        </w:rPr>
        <w:t xml:space="preserve">. Stationary points were established as minima with zero imaginary frequency. Each transition state was confirmed by the presence of one imaginary frequency at the same theory levels as employed for geometry optimization. The intrinsic reaction coordinate (IRC) calculations were carried out to confirm each transition state (TS) connecting with the two associated minima in the proposed mechanism. All the calculations are computed in ambient conditions (298.15 K and 1 </w:t>
      </w:r>
      <w:proofErr w:type="spellStart"/>
      <w:r>
        <w:rPr>
          <w:color w:val="000000" w:themeColor="text1"/>
        </w:rPr>
        <w:t>atm</w:t>
      </w:r>
      <w:proofErr w:type="spellEnd"/>
      <w:r>
        <w:rPr>
          <w:color w:val="000000" w:themeColor="text1"/>
        </w:rPr>
        <w:t xml:space="preserve">) without solvation effect. </w:t>
      </w:r>
    </w:p>
    <w:p w14:paraId="59775F08" w14:textId="42D50C34" w:rsidR="005E793A" w:rsidRDefault="005E793A" w:rsidP="005E793A">
      <w:pPr>
        <w:pStyle w:val="CETHeading1"/>
      </w:pPr>
      <w:r>
        <w:t>Results and discussion</w:t>
      </w:r>
    </w:p>
    <w:p w14:paraId="00C7CC66" w14:textId="46AF8B8E" w:rsidR="00220931" w:rsidRPr="00894B5F" w:rsidRDefault="00220931" w:rsidP="00894B5F">
      <w:pPr>
        <w:pStyle w:val="ListParagraph"/>
        <w:ind w:left="0"/>
        <w:rPr>
          <w:rFonts w:asciiTheme="minorHAnsi" w:hAnsiTheme="minorHAnsi"/>
          <w:color w:val="000000" w:themeColor="text1"/>
          <w:sz w:val="22"/>
          <w:lang w:val="en-US"/>
        </w:rPr>
      </w:pPr>
      <w:r w:rsidRPr="00220931">
        <w:rPr>
          <w:color w:val="000000" w:themeColor="text1"/>
        </w:rPr>
        <w:t xml:space="preserve">Figure 1 illustrates the DFT-assisted reaction mechanism of fluoronitrile hydrolysis processes in the potential energy surface (PES) profile, and Table 1 presents the chemical reactions with the Gibbs free energies values. The first step involved the generation of an </w:t>
      </w:r>
      <w:proofErr w:type="spellStart"/>
      <w:r w:rsidRPr="00220931">
        <w:rPr>
          <w:color w:val="000000" w:themeColor="text1"/>
        </w:rPr>
        <w:t>imidic</w:t>
      </w:r>
      <w:proofErr w:type="spellEnd"/>
      <w:r w:rsidRPr="00220931">
        <w:rPr>
          <w:color w:val="000000" w:themeColor="text1"/>
        </w:rPr>
        <w:t xml:space="preserve"> acid (isomers) and amides following the hydration and tautomerization reactions. The first reaction (Ra) step involved a nucleophilic attack by the water molecule on the protonated nitrile (-C≡N) group of the fluoronitrile molecule to overcome the energy barrier of 59.1 kcal/mol, which undergoes the formation of an amidic acid with exothermic 5.6 kcal/mol energy. The highest energy barrier among all the reactions is reaction Ra </w:t>
      </w:r>
      <w:r w:rsidR="00894B5F" w:rsidRPr="00220931">
        <w:rPr>
          <w:color w:val="000000" w:themeColor="text1"/>
        </w:rPr>
        <w:t>and termed</w:t>
      </w:r>
      <w:r w:rsidRPr="00220931">
        <w:rPr>
          <w:color w:val="000000" w:themeColor="text1"/>
        </w:rPr>
        <w:t xml:space="preserve"> as the rate-determining step. Subsequently, the second step (Rb) is the isomerization of </w:t>
      </w:r>
      <w:proofErr w:type="spellStart"/>
      <w:r w:rsidRPr="00220931">
        <w:rPr>
          <w:color w:val="000000" w:themeColor="text1"/>
        </w:rPr>
        <w:t>imidic</w:t>
      </w:r>
      <w:proofErr w:type="spellEnd"/>
      <w:r w:rsidRPr="00220931">
        <w:rPr>
          <w:color w:val="000000" w:themeColor="text1"/>
        </w:rPr>
        <w:t xml:space="preserve"> acid, involving proton migration with a 34 kcal/mol barrier height to form a corresponding amide molecule (C</w:t>
      </w:r>
      <w:r w:rsidRPr="00894B5F">
        <w:rPr>
          <w:color w:val="000000" w:themeColor="text1"/>
          <w:vertAlign w:val="subscript"/>
        </w:rPr>
        <w:t>3</w:t>
      </w:r>
      <w:r w:rsidRPr="00220931">
        <w:rPr>
          <w:color w:val="000000" w:themeColor="text1"/>
        </w:rPr>
        <w:t>F</w:t>
      </w:r>
      <w:r w:rsidRPr="00894B5F">
        <w:rPr>
          <w:color w:val="000000" w:themeColor="text1"/>
          <w:vertAlign w:val="subscript"/>
        </w:rPr>
        <w:t>7</w:t>
      </w:r>
      <w:r w:rsidRPr="00220931">
        <w:rPr>
          <w:color w:val="000000" w:themeColor="text1"/>
        </w:rPr>
        <w:t>CONH</w:t>
      </w:r>
      <w:r w:rsidRPr="00894B5F">
        <w:rPr>
          <w:color w:val="000000" w:themeColor="text1"/>
          <w:vertAlign w:val="subscript"/>
        </w:rPr>
        <w:t>2</w:t>
      </w:r>
      <w:r w:rsidRPr="00220931">
        <w:rPr>
          <w:color w:val="000000" w:themeColor="text1"/>
        </w:rPr>
        <w:t xml:space="preserve">) with an overall exothermic energy of 13.4 kcal/mol, making it a more probable channel among all the hydrolysis reactions and also reported in the following literature </w:t>
      </w:r>
      <w:r w:rsidRPr="00220931">
        <w:rPr>
          <w:color w:val="000000" w:themeColor="text1"/>
        </w:rPr>
        <w:fldChar w:fldCharType="begin" w:fldLock="1"/>
      </w:r>
      <w:r w:rsidR="0020668B">
        <w:rPr>
          <w:color w:val="000000" w:themeColor="text1"/>
        </w:rPr>
        <w:instrText>ADDIN CSL_CITATION {"citationItems":[{"id":"ITEM-1","itemData":{"DOI":"10.1109/TDEI.2021.009608","ISSN":"15584135","abstract":"Decomposition of heptafluoro-iso-butyronitrile (C3F7CN), a novel eco-friendly dielectric gas for high voltage electrical applications, is investigated theoretically in the presence of water vapor using various computational methods including DFT, CBS-Q, G4, CCSD(T)-F12 and RRKM theory. Hydrolysis of C3F7CN proceeds dominantly via the stepwise addition/isomerization or elimination mechanisms to form amide or HF. The reaction pathways are bifurcated into cis and trans conformations. Activation barriers are strongly dependent on the number of water molecules in hydrolysis due to catalytic effect. The intermediate imidic acid prefers to produce formamido imine via recombination or secondary reaction with C3F7CN. Hydrolysis of CF3 and CF3CFCN undergoes via the direct H-abstraction mechanism to form OH radicals enhancing hydrolysis of C3F7CN. Kinetic calculations predict that imidic acid is the major decomposition product below 500 K while amide is generated exclusively above 1000 K with a small fraction of HF. The present work not only provides a theoretical basis for the increasing risk of dielectric failure of C3F7CN with the increment of the high humidity levels, but also identifies the potential characteristic decomposition products to develop failure diagnostic techniques.","author":[{"dropping-particle":"","family":"Yu","given":"Xiaojuan","non-dropping-particle":"","parse-names":false,"suffix":""},{"dropping-particle":"","family":"Wang","given":"Baoshan","non-dropping-particle":"","parse-names":false,"suffix":""}],"container-title":"IEEE Transactions on Dielectrics and Electrical Insulation","id":"ITEM-1","issue":"4","issued":{"date-parts":[["2021","8","1"]]},"page":"1273-1281","publisher":"Institute of Electrical and Electronics Engineers Inc.","title":"Mechanistic Insight into the Decomposition of Eco-Friendly Dielectric Gas Heptafluoro-iso-butyronitrile in the Presence of Water Impurity","type":"article-journal","volume":"28"},"uris":["http://www.mendeley.com/documents/?uuid=2ec153dd-0a28-31a7-a7be-9089358f5f0d"]}],"mendeley":{"formattedCitation":"(Yu and Wang, 2021)","plainTextFormattedCitation":"(Yu and Wang, 2021)","previouslyFormattedCitation":"(Yu and Wang, 2021)"},"properties":{"noteIndex":0},"schema":"https://github.com/citation-style-language/schema/raw/master/csl-citation.json"}</w:instrText>
      </w:r>
      <w:r w:rsidRPr="00220931">
        <w:rPr>
          <w:color w:val="000000" w:themeColor="text1"/>
        </w:rPr>
        <w:fldChar w:fldCharType="separate"/>
      </w:r>
      <w:r w:rsidR="00B4357C" w:rsidRPr="00B4357C">
        <w:rPr>
          <w:noProof/>
          <w:color w:val="000000" w:themeColor="text1"/>
        </w:rPr>
        <w:t>(Yu and Wang, 2021)</w:t>
      </w:r>
      <w:r w:rsidRPr="00220931">
        <w:rPr>
          <w:color w:val="000000" w:themeColor="text1"/>
        </w:rPr>
        <w:fldChar w:fldCharType="end"/>
      </w:r>
      <w:r w:rsidRPr="00220931">
        <w:rPr>
          <w:color w:val="000000" w:themeColor="text1"/>
        </w:rPr>
        <w:t xml:space="preserve">, </w:t>
      </w:r>
      <w:r w:rsidRPr="00220931">
        <w:rPr>
          <w:color w:val="000000" w:themeColor="text1"/>
        </w:rPr>
        <w:fldChar w:fldCharType="begin" w:fldLock="1"/>
      </w:r>
      <w:r w:rsidR="0020668B">
        <w:rPr>
          <w:color w:val="000000" w:themeColor="text1"/>
        </w:rPr>
        <w:instrText>ADDIN CSL_CITATION {"citationItems":[{"id":"ITEM-1","itemData":{"DOI":"10.1016/S0166-1280(99)00283-3","ISBN":"3140245505","ISSN":"01661280","abstract":"Transition states for the acetonitrile hydrolysis reaction (including hydration and isomerization steps) catalyzed by different proton donors have been studied by different quantum chemical methods (RHF, DFT and MP2), using different cluster models, HCl(H2O), HCl(H2O)2, (H2O)3, HCl(H2O)3 and H3O+(H2O)2 clusters were used for the hydration transition state and H2O, HCl, HCl(H2O) and H3O+ for the tautomerism (intramolecular proton migration) transition state. All ab initio methods showed complete qualitative agreement in the hydration transition state geometry. In the tautomerization case, inclusion of electron correlation was required to obtain the correct transition state geometry. The calculated activation barrier energies changed considerably for the different clusters. An ancillary effect of water and HCl was observed. In complementary studies, the effect of polar environment on HCl dissociation was analyzed via embedding calculations and by using HCl(H2O)5 cluster. Although HCl dissociates in H2O, it was found not to protonate acetonitrile. (C) 2000 Elsevier Science B.V.","author":[{"dropping-particle":"","family":"Barbosa","given":"L. A.M.M.","non-dropping-particle":"","parse-names":false,"suffix":""},{"dropping-particle":"","family":"Santen","given":"R. A.","non-dropping-particle":"Van","parse-names":false,"suffix":""}],"container-title":"Journal of Molecular Structure: THEOCHEM","id":"ITEM-1","issue":"1-3","issued":{"date-parts":[["2000"]]},"page":"173-188","title":"A systematic study of the ancillary effect of different molecules on the acetonitrile hydrolysis","type":"article-journal","volume":"497"},"uris":["http://www.mendeley.com/documents/?uuid=799d8701-efba-4834-af63-cc341daa3740"]}],"mendeley":{"formattedCitation":"(Barbosa and Van Santen, 2000)","plainTextFormattedCitation":"(Barbosa and Van Santen, 2000)","previouslyFormattedCitation":"(Barbosa and Van Santen, 2000)"},"properties":{"noteIndex":0},"schema":"https://github.com/citation-style-language/schema/raw/master/csl-citation.json"}</w:instrText>
      </w:r>
      <w:r w:rsidRPr="00220931">
        <w:rPr>
          <w:color w:val="000000" w:themeColor="text1"/>
        </w:rPr>
        <w:fldChar w:fldCharType="separate"/>
      </w:r>
      <w:r w:rsidR="00B4357C" w:rsidRPr="00B4357C">
        <w:rPr>
          <w:noProof/>
          <w:color w:val="000000" w:themeColor="text1"/>
        </w:rPr>
        <w:t>(Barbosa and Van Santen, 2000)</w:t>
      </w:r>
      <w:r w:rsidRPr="00220931">
        <w:rPr>
          <w:color w:val="000000" w:themeColor="text1"/>
        </w:rPr>
        <w:fldChar w:fldCharType="end"/>
      </w:r>
      <w:r w:rsidRPr="00220931">
        <w:rPr>
          <w:color w:val="000000" w:themeColor="text1"/>
        </w:rPr>
        <w:t>.</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6"/>
      </w:tblGrid>
      <w:tr w:rsidR="00457EDC" w14:paraId="6FAA5A01" w14:textId="77777777" w:rsidTr="00457EDC">
        <w:trPr>
          <w:trHeight w:val="4933"/>
        </w:trPr>
        <w:tc>
          <w:tcPr>
            <w:tcW w:w="9498" w:type="dxa"/>
            <w:hideMark/>
          </w:tcPr>
          <w:p w14:paraId="0BF9226D" w14:textId="4CAAE85F" w:rsidR="00220931" w:rsidRDefault="00457EDC" w:rsidP="00CF031F">
            <w:pPr>
              <w:spacing w:line="240" w:lineRule="auto"/>
              <w:jc w:val="left"/>
              <w:rPr>
                <w:b/>
                <w:bCs/>
                <w:color w:val="FF0000"/>
                <w:sz w:val="24"/>
                <w:szCs w:val="24"/>
              </w:rPr>
            </w:pPr>
            <w:r>
              <w:rPr>
                <w:b/>
                <w:bCs/>
                <w:noProof/>
                <w:color w:val="FF0000"/>
                <w:sz w:val="24"/>
                <w:szCs w:val="24"/>
              </w:rPr>
              <w:lastRenderedPageBreak/>
              <w:drawing>
                <wp:inline distT="0" distB="0" distL="0" distR="0" wp14:anchorId="5F1701C7" wp14:editId="37C61EB4">
                  <wp:extent cx="5992434" cy="3076696"/>
                  <wp:effectExtent l="0" t="0" r="8890" b="0"/>
                  <wp:docPr id="12735459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24498" cy="3093159"/>
                          </a:xfrm>
                          <a:prstGeom prst="rect">
                            <a:avLst/>
                          </a:prstGeom>
                          <a:noFill/>
                        </pic:spPr>
                      </pic:pic>
                    </a:graphicData>
                  </a:graphic>
                </wp:inline>
              </w:drawing>
            </w:r>
          </w:p>
        </w:tc>
      </w:tr>
      <w:tr w:rsidR="00457EDC" w:rsidRPr="00220931" w14:paraId="7A5F8D47" w14:textId="77777777" w:rsidTr="00457EDC">
        <w:trPr>
          <w:trHeight w:val="315"/>
        </w:trPr>
        <w:tc>
          <w:tcPr>
            <w:tcW w:w="9498" w:type="dxa"/>
            <w:hideMark/>
          </w:tcPr>
          <w:p w14:paraId="754BDCB9" w14:textId="77777777" w:rsidR="00220931" w:rsidRPr="00610F32" w:rsidRDefault="00220931" w:rsidP="00CF031F">
            <w:pPr>
              <w:spacing w:line="240" w:lineRule="auto"/>
              <w:jc w:val="left"/>
              <w:rPr>
                <w:i/>
                <w:iCs/>
                <w:color w:val="FF0000"/>
                <w:sz w:val="22"/>
                <w:szCs w:val="22"/>
              </w:rPr>
            </w:pPr>
            <w:r w:rsidRPr="00457EDC">
              <w:rPr>
                <w:i/>
                <w:iCs/>
                <w:color w:val="000000" w:themeColor="text1"/>
              </w:rPr>
              <w:t>Figure 1: A complete chemical reaction mechanism of fluoronitrile hydrolysis</w:t>
            </w:r>
          </w:p>
        </w:tc>
      </w:tr>
    </w:tbl>
    <w:p w14:paraId="6526B680" w14:textId="77777777" w:rsidR="00E90A2E" w:rsidRDefault="00E90A2E" w:rsidP="00E90A2E">
      <w:pPr>
        <w:pStyle w:val="ListParagraph"/>
        <w:ind w:left="0"/>
        <w:rPr>
          <w:color w:val="000000" w:themeColor="text1"/>
        </w:rPr>
      </w:pPr>
    </w:p>
    <w:p w14:paraId="3B94AA12" w14:textId="5B226B25" w:rsidR="00A755F0" w:rsidRPr="007918FE" w:rsidRDefault="00220931" w:rsidP="007918FE">
      <w:pPr>
        <w:pStyle w:val="ListParagraph"/>
        <w:ind w:left="0"/>
        <w:rPr>
          <w:rFonts w:asciiTheme="minorHAnsi" w:hAnsiTheme="minorHAnsi" w:cstheme="minorBidi"/>
          <w:sz w:val="22"/>
          <w:szCs w:val="22"/>
          <w:lang w:val="en-US"/>
        </w:rPr>
      </w:pPr>
      <w:r w:rsidRPr="00E90A2E">
        <w:rPr>
          <w:color w:val="000000" w:themeColor="text1"/>
        </w:rPr>
        <w:t>Consequently, the abundance of the C</w:t>
      </w:r>
      <w:r w:rsidRPr="00E90A2E">
        <w:rPr>
          <w:color w:val="000000" w:themeColor="text1"/>
          <w:vertAlign w:val="subscript"/>
        </w:rPr>
        <w:t>4</w:t>
      </w:r>
      <w:r w:rsidRPr="00E90A2E">
        <w:rPr>
          <w:color w:val="000000" w:themeColor="text1"/>
        </w:rPr>
        <w:t>F</w:t>
      </w:r>
      <w:r w:rsidRPr="00E90A2E">
        <w:rPr>
          <w:color w:val="000000" w:themeColor="text1"/>
          <w:vertAlign w:val="subscript"/>
        </w:rPr>
        <w:t>7</w:t>
      </w:r>
      <w:r w:rsidRPr="00E90A2E">
        <w:rPr>
          <w:color w:val="000000" w:themeColor="text1"/>
        </w:rPr>
        <w:t xml:space="preserve">N molecule in the system accelerates to the addition of another </w:t>
      </w:r>
      <w:proofErr w:type="spellStart"/>
      <w:r w:rsidRPr="00E90A2E">
        <w:rPr>
          <w:color w:val="000000" w:themeColor="text1"/>
        </w:rPr>
        <w:t>heptafluorobutyronitrile</w:t>
      </w:r>
      <w:proofErr w:type="spellEnd"/>
      <w:r w:rsidRPr="00E90A2E">
        <w:rPr>
          <w:color w:val="000000" w:themeColor="text1"/>
        </w:rPr>
        <w:t xml:space="preserve"> molecule and generates dime</w:t>
      </w:r>
      <w:r w:rsidR="004C591F">
        <w:rPr>
          <w:color w:val="000000" w:themeColor="text1"/>
        </w:rPr>
        <w:t>r</w:t>
      </w:r>
      <w:r w:rsidRPr="00E90A2E">
        <w:rPr>
          <w:color w:val="000000" w:themeColor="text1"/>
        </w:rPr>
        <w:t>. In the reaction (</w:t>
      </w:r>
      <w:proofErr w:type="spellStart"/>
      <w:r w:rsidRPr="00E90A2E">
        <w:rPr>
          <w:color w:val="000000" w:themeColor="text1"/>
        </w:rPr>
        <w:t>Rc</w:t>
      </w:r>
      <w:proofErr w:type="spellEnd"/>
      <w:r w:rsidRPr="00E90A2E">
        <w:rPr>
          <w:color w:val="000000" w:themeColor="text1"/>
        </w:rPr>
        <w:t>), a dimer molecule is formed by the attack of a -CN bond from the fluoronitrile molecule on the -NH side of the amide, which needs an energy barrier of 23.8 kcal mol</w:t>
      </w:r>
      <w:r w:rsidRPr="00E90A2E">
        <w:rPr>
          <w:color w:val="000000" w:themeColor="text1"/>
          <w:vertAlign w:val="superscript"/>
        </w:rPr>
        <w:t>-1</w:t>
      </w:r>
      <w:r w:rsidRPr="00E90A2E">
        <w:rPr>
          <w:color w:val="000000" w:themeColor="text1"/>
        </w:rPr>
        <w:t>. Lower energy barrier in (</w:t>
      </w:r>
      <w:proofErr w:type="spellStart"/>
      <w:r w:rsidRPr="00E90A2E">
        <w:rPr>
          <w:color w:val="000000" w:themeColor="text1"/>
        </w:rPr>
        <w:t>Rc</w:t>
      </w:r>
      <w:proofErr w:type="spellEnd"/>
      <w:r w:rsidRPr="00E90A2E">
        <w:rPr>
          <w:color w:val="000000" w:themeColor="text1"/>
        </w:rPr>
        <w:t xml:space="preserve">), subjecting it to thermodynamically more </w:t>
      </w:r>
      <w:r w:rsidR="00894B5F" w:rsidRPr="00E90A2E">
        <w:rPr>
          <w:color w:val="000000" w:themeColor="text1"/>
        </w:rPr>
        <w:t>favourable</w:t>
      </w:r>
      <w:r w:rsidRPr="00E90A2E">
        <w:rPr>
          <w:color w:val="000000" w:themeColor="text1"/>
        </w:rPr>
        <w:t xml:space="preserve"> than (Rb), and resulting in the formation of needle-like shape as mentioned in Hitachi Energy thermal aging tests </w:t>
      </w:r>
      <w:r w:rsidRPr="00E90A2E">
        <w:rPr>
          <w:color w:val="000000" w:themeColor="text1"/>
        </w:rPr>
        <w:fldChar w:fldCharType="begin" w:fldLock="1"/>
      </w:r>
      <w:r w:rsidR="0020668B">
        <w:rPr>
          <w:color w:val="000000" w:themeColor="text1"/>
        </w:rPr>
        <w:instrText>ADDIN CSL_CITATION {"citationItems":[{"id":"ITEM-1","itemData":{"author":[{"dropping-particle":"","family":"Donzel","given":"Lise","non-dropping-particle":"","parse-names":false,"suffix":""},{"dropping-particle":"","family":"Buffoni","given":"Saskia","non-dropping-particle":"","parse-names":false,"suffix":""},{"dropping-particle":"","family":"Krawczyk","given":"Pawel","non-dropping-particle":"","parse-names":false,"suffix":""},{"dropping-particle":"","family":"Gatzsche","given":"Michael","non-dropping-particle":"","parse-names":false,"suffix":""}],"container-title":"Conseil international des grands réseaux électriques (CIGRE)","id":"ITEM-1","issued":{"date-parts":[["2024"]]},"title":"Chemistry of C4-FN gas mixtures and application in high-voltage equipment","type":"article-journal"},"uris":["http://www.mendeley.com/documents/?uuid=bacbf73d-59a6-4812-a8b2-31929de45b7f"]}],"mendeley":{"formattedCitation":"(Donzel &lt;i&gt;et al.&lt;/i&gt;, 2024)","plainTextFormattedCitation":"(Donzel et al., 2024)","previouslyFormattedCitation":"(Donzel &lt;i&gt;et al.&lt;/i&gt;, 2024)"},"properties":{"noteIndex":0},"schema":"https://github.com/citation-style-language/schema/raw/master/csl-citation.json"}</w:instrText>
      </w:r>
      <w:r w:rsidRPr="00E90A2E">
        <w:rPr>
          <w:color w:val="000000" w:themeColor="text1"/>
        </w:rPr>
        <w:fldChar w:fldCharType="separate"/>
      </w:r>
      <w:r w:rsidR="00B4357C" w:rsidRPr="00B4357C">
        <w:rPr>
          <w:noProof/>
          <w:color w:val="000000" w:themeColor="text1"/>
        </w:rPr>
        <w:t xml:space="preserve">(Donzel </w:t>
      </w:r>
      <w:r w:rsidR="00B4357C" w:rsidRPr="00B4357C">
        <w:rPr>
          <w:i/>
          <w:noProof/>
          <w:color w:val="000000" w:themeColor="text1"/>
        </w:rPr>
        <w:t>et al.</w:t>
      </w:r>
      <w:r w:rsidR="00B4357C" w:rsidRPr="00B4357C">
        <w:rPr>
          <w:noProof/>
          <w:color w:val="000000" w:themeColor="text1"/>
        </w:rPr>
        <w:t>, 2024)</w:t>
      </w:r>
      <w:r w:rsidRPr="00E90A2E">
        <w:rPr>
          <w:color w:val="000000" w:themeColor="text1"/>
        </w:rPr>
        <w:fldChar w:fldCharType="end"/>
      </w:r>
      <w:r w:rsidRPr="00E90A2E">
        <w:rPr>
          <w:color w:val="000000" w:themeColor="text1"/>
        </w:rPr>
        <w:t xml:space="preserve">. Additionally, these dimer molecules can trigger Cu-complex, a new violet crystal presented in the Kesseler study </w:t>
      </w:r>
      <w:r w:rsidRPr="00E90A2E">
        <w:rPr>
          <w:color w:val="000000" w:themeColor="text1"/>
        </w:rPr>
        <w:fldChar w:fldCharType="begin" w:fldLock="1"/>
      </w:r>
      <w:r w:rsidR="0020668B">
        <w:rPr>
          <w:color w:val="000000" w:themeColor="text1"/>
        </w:rPr>
        <w:instrText>ADDIN CSL_CITATION {"citationItems":[{"id":"ITEM-1","itemData":{"DOI":"10.1002/ejic.202000213","ISSN":"10990682","abstract":"Herein we describe the compatibility of 2-(trifluoromethyl)-2,3,3,3-tetrafluoropropane nitrile, an insulating gas for gas-insulated equipment, with aluminum, silver and copper. In an autoclave metal samples, oxygen, the gaseous 2-(trifluoromethyl)-2,3,3,3-tetrafluoropropane nitrile and a small amount of water were mixed at elevated pressure and heated up to 225 °C for several weeks. When Cu was present a multi-step gas phase reaction occurred, and single crystals of a copper complex were isolated. The square planar copper(II) complex contains two perfluorinated N-acylamidine ligands. The structure of the complex was obtained by single-crystal X-ray diffraction.","author":[{"dropping-particle":"","family":"Kessler","given":"Florian","non-dropping-particle":"","parse-names":false,"suffix":""},{"dropping-particle":"","family":"Sarfert-Gast","given":"Wiebke","non-dropping-particle":"","parse-names":false,"suffix":""},{"dropping-particle":"","family":"Kuhlmann","given":"Laura","non-dropping-particle":"","parse-names":false,"suffix":""},{"dropping-particle":"","family":"Ise","given":"Martin","non-dropping-particle":"","parse-names":false,"suffix":""},{"dropping-particle":"","family":"Heinemann","given":"Frank W.","non-dropping-particle":"","parse-names":false,"suffix":""}],"container-title":"European Journal of Inorganic Chemistry","id":"ITEM-1","issue":"20","issued":{"date-parts":[["2020"]]},"page":"1989-1994","title":"Compatibility of a Gaseous Dielectric with Al, Ag, and Cu and Gas-Phase Synthesis of a New N-Acylamidine Copper Complex","type":"article-journal","volume":"2020"},"uris":["http://www.mendeley.com/documents/?uuid=0528716b-4cdd-4cc8-8b78-335338057dd1"]}],"mendeley":{"formattedCitation":"(Kessler &lt;i&gt;et al.&lt;/i&gt;, 2020)","plainTextFormattedCitation":"(Kessler et al., 2020)","previouslyFormattedCitation":"(Kessler &lt;i&gt;et al.&lt;/i&gt;, 2020)"},"properties":{"noteIndex":0},"schema":"https://github.com/citation-style-language/schema/raw/master/csl-citation.json"}</w:instrText>
      </w:r>
      <w:r w:rsidRPr="00E90A2E">
        <w:rPr>
          <w:color w:val="000000" w:themeColor="text1"/>
        </w:rPr>
        <w:fldChar w:fldCharType="separate"/>
      </w:r>
      <w:r w:rsidR="00B4357C" w:rsidRPr="00B4357C">
        <w:rPr>
          <w:noProof/>
          <w:color w:val="000000" w:themeColor="text1"/>
        </w:rPr>
        <w:t xml:space="preserve">(Kessler </w:t>
      </w:r>
      <w:r w:rsidR="00B4357C" w:rsidRPr="00B4357C">
        <w:rPr>
          <w:i/>
          <w:noProof/>
          <w:color w:val="000000" w:themeColor="text1"/>
        </w:rPr>
        <w:t>et al.</w:t>
      </w:r>
      <w:r w:rsidR="00B4357C" w:rsidRPr="00B4357C">
        <w:rPr>
          <w:noProof/>
          <w:color w:val="000000" w:themeColor="text1"/>
        </w:rPr>
        <w:t>, 2020)</w:t>
      </w:r>
      <w:r w:rsidRPr="00E90A2E">
        <w:rPr>
          <w:color w:val="000000" w:themeColor="text1"/>
        </w:rPr>
        <w:fldChar w:fldCharType="end"/>
      </w:r>
      <w:r w:rsidRPr="00E90A2E">
        <w:rPr>
          <w:color w:val="000000" w:themeColor="text1"/>
        </w:rPr>
        <w:t>.</w:t>
      </w:r>
    </w:p>
    <w:p w14:paraId="0E1AB060" w14:textId="5312B034" w:rsidR="0025780A" w:rsidRPr="00A676B6" w:rsidRDefault="0025780A" w:rsidP="0025780A">
      <w:pPr>
        <w:pStyle w:val="CETTabletitle"/>
      </w:pPr>
      <w:r w:rsidRPr="00A676B6">
        <w:rPr>
          <w:color w:val="000000" w:themeColor="text1"/>
        </w:rPr>
        <w:t>Table 1: Absorbed energy and reaction barrier (kcal/mol) of fluoronitrile (</w:t>
      </w:r>
      <w:r w:rsidR="007918FE">
        <w:rPr>
          <w:color w:val="000000" w:themeColor="text1"/>
        </w:rPr>
        <w:t>C</w:t>
      </w:r>
      <w:r w:rsidR="007918FE" w:rsidRPr="00894B5F">
        <w:rPr>
          <w:color w:val="000000" w:themeColor="text1"/>
          <w:vertAlign w:val="subscript"/>
        </w:rPr>
        <w:t>4</w:t>
      </w:r>
      <w:r w:rsidR="007918FE">
        <w:rPr>
          <w:color w:val="000000" w:themeColor="text1"/>
        </w:rPr>
        <w:t>F</w:t>
      </w:r>
      <w:r w:rsidR="007918FE" w:rsidRPr="00894B5F">
        <w:rPr>
          <w:color w:val="000000" w:themeColor="text1"/>
          <w:vertAlign w:val="subscript"/>
        </w:rPr>
        <w:t>7</w:t>
      </w:r>
      <w:r w:rsidRPr="00A676B6">
        <w:rPr>
          <w:color w:val="000000" w:themeColor="text1"/>
        </w:rPr>
        <w:t>N) hydrolysis reactions</w:t>
      </w:r>
    </w:p>
    <w:tbl>
      <w:tblPr>
        <w:tblW w:w="9072" w:type="dxa"/>
        <w:tblBorders>
          <w:top w:val="single" w:sz="12" w:space="0" w:color="008000"/>
          <w:bottom w:val="single" w:sz="12" w:space="0" w:color="008000"/>
        </w:tblBorders>
        <w:shd w:val="clear" w:color="auto" w:fill="FFFFFF"/>
        <w:tblLayout w:type="fixed"/>
        <w:tblCellMar>
          <w:left w:w="0" w:type="dxa"/>
          <w:right w:w="0" w:type="dxa"/>
        </w:tblCellMar>
        <w:tblLook w:val="00A0" w:firstRow="1" w:lastRow="0" w:firstColumn="1" w:lastColumn="0" w:noHBand="0" w:noVBand="0"/>
      </w:tblPr>
      <w:tblGrid>
        <w:gridCol w:w="426"/>
        <w:gridCol w:w="1275"/>
        <w:gridCol w:w="4253"/>
        <w:gridCol w:w="1843"/>
        <w:gridCol w:w="1275"/>
      </w:tblGrid>
      <w:tr w:rsidR="003A63E8" w14:paraId="07B1BF20" w14:textId="77777777" w:rsidTr="00A676B6">
        <w:tc>
          <w:tcPr>
            <w:tcW w:w="426" w:type="dxa"/>
            <w:tcBorders>
              <w:top w:val="single" w:sz="12" w:space="0" w:color="008000"/>
              <w:left w:val="nil"/>
              <w:bottom w:val="single" w:sz="6" w:space="0" w:color="008000"/>
              <w:right w:val="nil"/>
            </w:tcBorders>
            <w:shd w:val="clear" w:color="auto" w:fill="FFFFFF"/>
            <w:hideMark/>
          </w:tcPr>
          <w:p w14:paraId="30ED18EF" w14:textId="5D59A92F" w:rsidR="0025780A" w:rsidRDefault="0025780A" w:rsidP="00A676B6">
            <w:pPr>
              <w:pStyle w:val="CETBodytext"/>
              <w:jc w:val="left"/>
              <w:rPr>
                <w:lang w:val="en-GB"/>
              </w:rPr>
            </w:pPr>
            <w:r>
              <w:rPr>
                <w:lang w:val="en-GB"/>
              </w:rPr>
              <w:t xml:space="preserve"># </w:t>
            </w:r>
          </w:p>
        </w:tc>
        <w:tc>
          <w:tcPr>
            <w:tcW w:w="1275" w:type="dxa"/>
            <w:tcBorders>
              <w:top w:val="single" w:sz="12" w:space="0" w:color="008000"/>
              <w:left w:val="nil"/>
              <w:bottom w:val="single" w:sz="6" w:space="0" w:color="008000"/>
              <w:right w:val="nil"/>
            </w:tcBorders>
            <w:shd w:val="clear" w:color="auto" w:fill="FFFFFF"/>
            <w:hideMark/>
          </w:tcPr>
          <w:p w14:paraId="12E25C4C" w14:textId="1EF2547A" w:rsidR="0025780A" w:rsidRDefault="002F7DB3" w:rsidP="00A676B6">
            <w:pPr>
              <w:pStyle w:val="CETBodytext"/>
              <w:jc w:val="left"/>
              <w:rPr>
                <w:lang w:val="en-GB"/>
              </w:rPr>
            </w:pPr>
            <w:r>
              <w:rPr>
                <w:lang w:val="en-GB"/>
              </w:rPr>
              <w:t>Reactions symbol</w:t>
            </w:r>
          </w:p>
        </w:tc>
        <w:tc>
          <w:tcPr>
            <w:tcW w:w="4253" w:type="dxa"/>
            <w:tcBorders>
              <w:top w:val="single" w:sz="12" w:space="0" w:color="008000"/>
              <w:left w:val="nil"/>
              <w:bottom w:val="single" w:sz="6" w:space="0" w:color="008000"/>
              <w:right w:val="nil"/>
            </w:tcBorders>
            <w:shd w:val="clear" w:color="auto" w:fill="FFFFFF"/>
            <w:hideMark/>
          </w:tcPr>
          <w:p w14:paraId="10FB906D" w14:textId="4675E938" w:rsidR="0025780A" w:rsidRDefault="002F7DB3" w:rsidP="00A676B6">
            <w:pPr>
              <w:pStyle w:val="CETBodytext"/>
              <w:jc w:val="left"/>
              <w:rPr>
                <w:lang w:val="en-GB"/>
              </w:rPr>
            </w:pPr>
            <w:r>
              <w:rPr>
                <w:lang w:val="en-GB"/>
              </w:rPr>
              <w:t>Chemical Reaction</w:t>
            </w:r>
          </w:p>
        </w:tc>
        <w:tc>
          <w:tcPr>
            <w:tcW w:w="1843" w:type="dxa"/>
            <w:tcBorders>
              <w:top w:val="single" w:sz="12" w:space="0" w:color="008000"/>
              <w:left w:val="nil"/>
              <w:bottom w:val="single" w:sz="6" w:space="0" w:color="008000"/>
              <w:right w:val="nil"/>
            </w:tcBorders>
            <w:shd w:val="clear" w:color="auto" w:fill="FFFFFF"/>
          </w:tcPr>
          <w:p w14:paraId="1DE05DA5" w14:textId="7ECE94FD" w:rsidR="0025780A" w:rsidRDefault="002F7DB3" w:rsidP="00A676B6">
            <w:pPr>
              <w:pStyle w:val="CETBodytext"/>
              <w:ind w:right="-1"/>
              <w:jc w:val="left"/>
              <w:rPr>
                <w:rFonts w:cs="Arial"/>
                <w:szCs w:val="18"/>
                <w:lang w:val="en-GB"/>
              </w:rPr>
            </w:pPr>
            <w:r>
              <w:rPr>
                <w:rFonts w:cs="Arial"/>
                <w:szCs w:val="18"/>
                <w:lang w:val="en-GB"/>
              </w:rPr>
              <w:t>Relative</w:t>
            </w:r>
            <w:r w:rsidR="00A676B6">
              <w:rPr>
                <w:rFonts w:cs="Arial"/>
                <w:szCs w:val="18"/>
                <w:lang w:val="en-GB"/>
              </w:rPr>
              <w:t xml:space="preserve"> </w:t>
            </w:r>
            <w:r>
              <w:rPr>
                <w:rFonts w:cs="Arial"/>
                <w:szCs w:val="18"/>
                <w:lang w:val="en-GB"/>
              </w:rPr>
              <w:t>Energy (kcal/mol)</w:t>
            </w:r>
          </w:p>
        </w:tc>
        <w:tc>
          <w:tcPr>
            <w:tcW w:w="1275" w:type="dxa"/>
            <w:tcBorders>
              <w:top w:val="single" w:sz="12" w:space="0" w:color="008000"/>
              <w:left w:val="nil"/>
              <w:bottom w:val="single" w:sz="6" w:space="0" w:color="008000"/>
              <w:right w:val="nil"/>
            </w:tcBorders>
            <w:shd w:val="clear" w:color="auto" w:fill="FFFFFF"/>
          </w:tcPr>
          <w:p w14:paraId="437557AF" w14:textId="0FE346B5" w:rsidR="0025780A" w:rsidRDefault="002F7DB3" w:rsidP="00A676B6">
            <w:pPr>
              <w:pStyle w:val="CETBodytext"/>
              <w:ind w:right="-1"/>
              <w:jc w:val="left"/>
              <w:rPr>
                <w:rFonts w:cs="Arial"/>
                <w:szCs w:val="18"/>
                <w:lang w:val="en-GB"/>
              </w:rPr>
            </w:pPr>
            <w:r>
              <w:rPr>
                <w:rFonts w:cs="Arial"/>
                <w:szCs w:val="18"/>
                <w:lang w:val="en-GB"/>
              </w:rPr>
              <w:t>Activation energy (</w:t>
            </w:r>
            <w:r>
              <w:rPr>
                <w:rFonts w:cstheme="minorHAnsi"/>
                <w:b/>
                <w:bCs/>
                <w:szCs w:val="18"/>
              </w:rPr>
              <w:t>∆</w:t>
            </w:r>
            <w:r w:rsidRPr="002F7DB3">
              <w:rPr>
                <w:szCs w:val="18"/>
              </w:rPr>
              <w:t>G</w:t>
            </w:r>
            <w:r>
              <w:rPr>
                <w:rFonts w:cs="Arial"/>
                <w:szCs w:val="18"/>
                <w:lang w:val="en-GB"/>
              </w:rPr>
              <w:t>) (</w:t>
            </w:r>
            <w:r w:rsidR="00A57CCA">
              <w:rPr>
                <w:rFonts w:cs="Arial"/>
                <w:szCs w:val="18"/>
                <w:lang w:val="en-GB"/>
              </w:rPr>
              <w:t>k</w:t>
            </w:r>
            <w:r>
              <w:rPr>
                <w:rFonts w:cs="Arial"/>
                <w:szCs w:val="18"/>
                <w:lang w:val="en-GB"/>
              </w:rPr>
              <w:t>cal/mol)</w:t>
            </w:r>
          </w:p>
        </w:tc>
      </w:tr>
      <w:tr w:rsidR="009725FE" w14:paraId="58E833A5" w14:textId="77777777" w:rsidTr="00A676B6">
        <w:tc>
          <w:tcPr>
            <w:tcW w:w="426" w:type="dxa"/>
            <w:tcBorders>
              <w:top w:val="nil"/>
              <w:left w:val="nil"/>
              <w:bottom w:val="nil"/>
              <w:right w:val="nil"/>
            </w:tcBorders>
            <w:shd w:val="clear" w:color="auto" w:fill="FFFFFF"/>
          </w:tcPr>
          <w:p w14:paraId="61FDD3F4" w14:textId="517EB9C1" w:rsidR="009725FE" w:rsidRDefault="009725FE" w:rsidP="009725FE">
            <w:pPr>
              <w:pStyle w:val="CETBodytext"/>
              <w:ind w:right="-1"/>
              <w:jc w:val="left"/>
              <w:rPr>
                <w:rFonts w:cs="Arial"/>
                <w:szCs w:val="18"/>
                <w:lang w:val="en-GB"/>
              </w:rPr>
            </w:pPr>
            <w:r>
              <w:rPr>
                <w:lang w:val="en-GB"/>
              </w:rPr>
              <w:t>1</w:t>
            </w:r>
          </w:p>
        </w:tc>
        <w:tc>
          <w:tcPr>
            <w:tcW w:w="1275" w:type="dxa"/>
            <w:tcBorders>
              <w:top w:val="nil"/>
              <w:left w:val="nil"/>
              <w:bottom w:val="nil"/>
              <w:right w:val="nil"/>
            </w:tcBorders>
            <w:shd w:val="clear" w:color="auto" w:fill="FFFFFF"/>
          </w:tcPr>
          <w:p w14:paraId="61B91FA8" w14:textId="3D1AE68C" w:rsidR="009725FE" w:rsidRDefault="009725FE" w:rsidP="009725FE">
            <w:pPr>
              <w:pStyle w:val="CETBodytext"/>
              <w:ind w:right="-1"/>
              <w:jc w:val="left"/>
              <w:rPr>
                <w:rFonts w:cs="Arial"/>
                <w:szCs w:val="18"/>
                <w:lang w:val="en-GB"/>
              </w:rPr>
            </w:pPr>
            <w:r>
              <w:rPr>
                <w:lang w:val="en-GB"/>
              </w:rPr>
              <w:t>Ra</w:t>
            </w:r>
          </w:p>
        </w:tc>
        <w:tc>
          <w:tcPr>
            <w:tcW w:w="4253" w:type="dxa"/>
            <w:tcBorders>
              <w:top w:val="nil"/>
              <w:left w:val="nil"/>
              <w:bottom w:val="nil"/>
              <w:right w:val="nil"/>
            </w:tcBorders>
            <w:shd w:val="clear" w:color="auto" w:fill="FFFFFF"/>
          </w:tcPr>
          <w:p w14:paraId="16006CDD" w14:textId="6C9C95C6" w:rsidR="009725FE" w:rsidRDefault="009725FE" w:rsidP="009725FE">
            <w:pPr>
              <w:pStyle w:val="CETBodytext"/>
              <w:ind w:right="-1"/>
              <w:jc w:val="left"/>
              <w:rPr>
                <w:rFonts w:cs="Arial"/>
                <w:szCs w:val="18"/>
                <w:lang w:val="en-GB"/>
              </w:rPr>
            </w:pPr>
            <w:r>
              <w:rPr>
                <w:szCs w:val="18"/>
              </w:rPr>
              <w:t>C</w:t>
            </w:r>
            <w:r>
              <w:rPr>
                <w:szCs w:val="18"/>
                <w:vertAlign w:val="subscript"/>
              </w:rPr>
              <w:t>4</w:t>
            </w:r>
            <w:r>
              <w:rPr>
                <w:szCs w:val="18"/>
              </w:rPr>
              <w:t>F</w:t>
            </w:r>
            <w:r>
              <w:rPr>
                <w:szCs w:val="18"/>
                <w:vertAlign w:val="subscript"/>
              </w:rPr>
              <w:t>7</w:t>
            </w:r>
            <w:r>
              <w:rPr>
                <w:szCs w:val="18"/>
              </w:rPr>
              <w:t>N + H</w:t>
            </w:r>
            <w:r>
              <w:rPr>
                <w:szCs w:val="18"/>
                <w:vertAlign w:val="subscript"/>
              </w:rPr>
              <w:t>2</w:t>
            </w:r>
            <w:r>
              <w:rPr>
                <w:szCs w:val="18"/>
              </w:rPr>
              <w:t xml:space="preserve">O </w:t>
            </w:r>
            <w:r>
              <w:rPr>
                <w:szCs w:val="18"/>
              </w:rPr>
              <w:sym w:font="Wingdings" w:char="F0E0"/>
            </w:r>
            <w:r>
              <w:rPr>
                <w:szCs w:val="18"/>
              </w:rPr>
              <w:t xml:space="preserve"> C</w:t>
            </w:r>
            <w:r>
              <w:rPr>
                <w:szCs w:val="18"/>
                <w:vertAlign w:val="subscript"/>
              </w:rPr>
              <w:t>4</w:t>
            </w:r>
            <w:r>
              <w:rPr>
                <w:szCs w:val="18"/>
              </w:rPr>
              <w:t>F</w:t>
            </w:r>
            <w:r>
              <w:rPr>
                <w:szCs w:val="18"/>
                <w:vertAlign w:val="subscript"/>
              </w:rPr>
              <w:t>7</w:t>
            </w:r>
            <w:r>
              <w:rPr>
                <w:szCs w:val="18"/>
              </w:rPr>
              <w:t>NH</w:t>
            </w:r>
            <w:r>
              <w:rPr>
                <w:szCs w:val="18"/>
                <w:vertAlign w:val="subscript"/>
              </w:rPr>
              <w:t>2</w:t>
            </w:r>
            <w:r>
              <w:rPr>
                <w:szCs w:val="18"/>
              </w:rPr>
              <w:t>O (tautomer)</w:t>
            </w:r>
          </w:p>
        </w:tc>
        <w:tc>
          <w:tcPr>
            <w:tcW w:w="1843" w:type="dxa"/>
            <w:tcBorders>
              <w:top w:val="nil"/>
              <w:left w:val="nil"/>
              <w:bottom w:val="nil"/>
              <w:right w:val="nil"/>
            </w:tcBorders>
            <w:shd w:val="clear" w:color="auto" w:fill="FFFFFF"/>
          </w:tcPr>
          <w:p w14:paraId="295D254A" w14:textId="589C9F3C" w:rsidR="009725FE" w:rsidRDefault="009725FE" w:rsidP="009725FE">
            <w:pPr>
              <w:pStyle w:val="CETBodytext"/>
              <w:ind w:right="-1"/>
              <w:jc w:val="left"/>
              <w:rPr>
                <w:rFonts w:cs="Arial"/>
                <w:szCs w:val="18"/>
                <w:lang w:val="en-GB"/>
              </w:rPr>
            </w:pPr>
            <w:r>
              <w:rPr>
                <w:rFonts w:cs="Arial"/>
                <w:szCs w:val="18"/>
                <w:lang w:val="en-GB"/>
              </w:rPr>
              <w:t>-5.6</w:t>
            </w:r>
          </w:p>
        </w:tc>
        <w:tc>
          <w:tcPr>
            <w:tcW w:w="1275" w:type="dxa"/>
            <w:tcBorders>
              <w:top w:val="nil"/>
              <w:left w:val="nil"/>
              <w:bottom w:val="nil"/>
              <w:right w:val="nil"/>
            </w:tcBorders>
            <w:shd w:val="clear" w:color="auto" w:fill="FFFFFF"/>
          </w:tcPr>
          <w:p w14:paraId="756C5AE7" w14:textId="0928A50D" w:rsidR="009725FE" w:rsidRDefault="009725FE" w:rsidP="009725FE">
            <w:pPr>
              <w:pStyle w:val="CETBodytext"/>
              <w:ind w:right="-1"/>
              <w:jc w:val="left"/>
              <w:rPr>
                <w:rFonts w:cs="Arial"/>
                <w:szCs w:val="18"/>
                <w:lang w:val="en-GB"/>
              </w:rPr>
            </w:pPr>
            <w:r>
              <w:rPr>
                <w:rFonts w:cs="Arial"/>
                <w:szCs w:val="18"/>
                <w:lang w:val="en-GB"/>
              </w:rPr>
              <w:t>59.1</w:t>
            </w:r>
          </w:p>
        </w:tc>
      </w:tr>
      <w:tr w:rsidR="009725FE" w14:paraId="5664D457" w14:textId="77777777" w:rsidTr="00A676B6">
        <w:tc>
          <w:tcPr>
            <w:tcW w:w="426" w:type="dxa"/>
            <w:tcBorders>
              <w:top w:val="nil"/>
              <w:left w:val="nil"/>
              <w:bottom w:val="nil"/>
              <w:right w:val="nil"/>
            </w:tcBorders>
            <w:shd w:val="clear" w:color="auto" w:fill="FFFFFF"/>
          </w:tcPr>
          <w:p w14:paraId="56560924" w14:textId="674FCD85" w:rsidR="009725FE" w:rsidRDefault="009725FE" w:rsidP="009725FE">
            <w:pPr>
              <w:pStyle w:val="CETBodytext"/>
              <w:ind w:right="-1"/>
              <w:jc w:val="left"/>
              <w:rPr>
                <w:rFonts w:cs="Arial"/>
                <w:szCs w:val="18"/>
                <w:lang w:val="en-GB"/>
              </w:rPr>
            </w:pPr>
            <w:r>
              <w:rPr>
                <w:rFonts w:cs="Arial"/>
                <w:szCs w:val="18"/>
                <w:lang w:val="en-GB"/>
              </w:rPr>
              <w:t>2</w:t>
            </w:r>
          </w:p>
        </w:tc>
        <w:tc>
          <w:tcPr>
            <w:tcW w:w="1275" w:type="dxa"/>
            <w:tcBorders>
              <w:top w:val="nil"/>
              <w:left w:val="nil"/>
              <w:bottom w:val="nil"/>
              <w:right w:val="nil"/>
            </w:tcBorders>
            <w:shd w:val="clear" w:color="auto" w:fill="FFFFFF"/>
          </w:tcPr>
          <w:p w14:paraId="3DA9917B" w14:textId="51A34B0F" w:rsidR="009725FE" w:rsidRDefault="009725FE" w:rsidP="009725FE">
            <w:pPr>
              <w:pStyle w:val="CETBodytext"/>
              <w:ind w:right="-1"/>
              <w:jc w:val="left"/>
              <w:rPr>
                <w:rFonts w:cs="Arial"/>
                <w:szCs w:val="18"/>
                <w:lang w:val="en-GB"/>
              </w:rPr>
            </w:pPr>
            <w:r>
              <w:rPr>
                <w:rFonts w:cs="Arial"/>
                <w:szCs w:val="18"/>
                <w:lang w:val="en-GB"/>
              </w:rPr>
              <w:t>Rb</w:t>
            </w:r>
          </w:p>
        </w:tc>
        <w:tc>
          <w:tcPr>
            <w:tcW w:w="4253" w:type="dxa"/>
            <w:tcBorders>
              <w:top w:val="nil"/>
              <w:left w:val="nil"/>
              <w:bottom w:val="nil"/>
              <w:right w:val="nil"/>
            </w:tcBorders>
            <w:shd w:val="clear" w:color="auto" w:fill="FFFFFF"/>
          </w:tcPr>
          <w:p w14:paraId="2D3EE8A3" w14:textId="4D8236A7" w:rsidR="009725FE" w:rsidRDefault="009725FE" w:rsidP="009725FE">
            <w:pPr>
              <w:pStyle w:val="CETBodytext"/>
              <w:ind w:right="-1"/>
              <w:jc w:val="left"/>
              <w:rPr>
                <w:rFonts w:cs="Arial"/>
                <w:szCs w:val="18"/>
                <w:lang w:val="en-GB"/>
              </w:rPr>
            </w:pPr>
            <w:r>
              <w:rPr>
                <w:szCs w:val="18"/>
              </w:rPr>
              <w:t>(tautomer) C</w:t>
            </w:r>
            <w:r>
              <w:rPr>
                <w:szCs w:val="18"/>
                <w:vertAlign w:val="subscript"/>
              </w:rPr>
              <w:t>4</w:t>
            </w:r>
            <w:r>
              <w:rPr>
                <w:szCs w:val="18"/>
              </w:rPr>
              <w:t>F</w:t>
            </w:r>
            <w:r>
              <w:rPr>
                <w:szCs w:val="18"/>
                <w:vertAlign w:val="subscript"/>
              </w:rPr>
              <w:t>7</w:t>
            </w:r>
            <w:r>
              <w:rPr>
                <w:szCs w:val="18"/>
              </w:rPr>
              <w:t>NH</w:t>
            </w:r>
            <w:r>
              <w:rPr>
                <w:szCs w:val="18"/>
                <w:vertAlign w:val="subscript"/>
              </w:rPr>
              <w:t>2</w:t>
            </w:r>
            <w:r>
              <w:rPr>
                <w:szCs w:val="18"/>
              </w:rPr>
              <w:t xml:space="preserve">O </w:t>
            </w:r>
            <w:r>
              <w:rPr>
                <w:szCs w:val="18"/>
              </w:rPr>
              <w:sym w:font="Wingdings" w:char="F0E0"/>
            </w:r>
            <w:r>
              <w:rPr>
                <w:szCs w:val="18"/>
              </w:rPr>
              <w:t xml:space="preserve"> C</w:t>
            </w:r>
            <w:r>
              <w:rPr>
                <w:szCs w:val="18"/>
                <w:vertAlign w:val="subscript"/>
              </w:rPr>
              <w:t>4</w:t>
            </w:r>
            <w:r>
              <w:rPr>
                <w:szCs w:val="18"/>
              </w:rPr>
              <w:t>F</w:t>
            </w:r>
            <w:r>
              <w:rPr>
                <w:szCs w:val="18"/>
                <w:vertAlign w:val="subscript"/>
              </w:rPr>
              <w:t>7</w:t>
            </w:r>
            <w:r>
              <w:rPr>
                <w:szCs w:val="18"/>
              </w:rPr>
              <w:t>NH</w:t>
            </w:r>
            <w:r>
              <w:rPr>
                <w:szCs w:val="18"/>
                <w:vertAlign w:val="subscript"/>
              </w:rPr>
              <w:t>2</w:t>
            </w:r>
            <w:r>
              <w:rPr>
                <w:szCs w:val="18"/>
              </w:rPr>
              <w:t>O</w:t>
            </w:r>
          </w:p>
        </w:tc>
        <w:tc>
          <w:tcPr>
            <w:tcW w:w="1843" w:type="dxa"/>
            <w:tcBorders>
              <w:top w:val="nil"/>
              <w:left w:val="nil"/>
              <w:bottom w:val="nil"/>
              <w:right w:val="nil"/>
            </w:tcBorders>
            <w:shd w:val="clear" w:color="auto" w:fill="FFFFFF"/>
          </w:tcPr>
          <w:p w14:paraId="616F7D98" w14:textId="5F4B5234" w:rsidR="009725FE" w:rsidRDefault="009725FE" w:rsidP="009725FE">
            <w:pPr>
              <w:pStyle w:val="CETBodytext"/>
              <w:ind w:right="-1"/>
              <w:jc w:val="left"/>
              <w:rPr>
                <w:rFonts w:cs="Arial"/>
                <w:szCs w:val="18"/>
                <w:lang w:val="en-GB"/>
              </w:rPr>
            </w:pPr>
            <w:r>
              <w:rPr>
                <w:rFonts w:cs="Arial"/>
                <w:szCs w:val="18"/>
                <w:lang w:val="en-GB"/>
              </w:rPr>
              <w:t>-13.4</w:t>
            </w:r>
          </w:p>
        </w:tc>
        <w:tc>
          <w:tcPr>
            <w:tcW w:w="1275" w:type="dxa"/>
            <w:tcBorders>
              <w:top w:val="nil"/>
              <w:left w:val="nil"/>
              <w:bottom w:val="nil"/>
              <w:right w:val="nil"/>
            </w:tcBorders>
            <w:shd w:val="clear" w:color="auto" w:fill="FFFFFF"/>
          </w:tcPr>
          <w:p w14:paraId="0D321BE5" w14:textId="21990079" w:rsidR="009725FE" w:rsidRDefault="009725FE" w:rsidP="009725FE">
            <w:pPr>
              <w:pStyle w:val="CETBodytext"/>
              <w:ind w:right="-1"/>
              <w:jc w:val="left"/>
              <w:rPr>
                <w:rFonts w:cs="Arial"/>
                <w:szCs w:val="18"/>
                <w:lang w:val="en-GB"/>
              </w:rPr>
            </w:pPr>
            <w:r>
              <w:rPr>
                <w:rFonts w:cs="Arial"/>
                <w:szCs w:val="18"/>
                <w:lang w:val="en-GB"/>
              </w:rPr>
              <w:t>33.8</w:t>
            </w:r>
          </w:p>
        </w:tc>
      </w:tr>
      <w:tr w:rsidR="009725FE" w14:paraId="7AB1228E" w14:textId="77777777" w:rsidTr="00A676B6">
        <w:tc>
          <w:tcPr>
            <w:tcW w:w="426" w:type="dxa"/>
            <w:tcBorders>
              <w:top w:val="nil"/>
              <w:left w:val="nil"/>
              <w:bottom w:val="single" w:sz="12" w:space="0" w:color="008000"/>
              <w:right w:val="nil"/>
            </w:tcBorders>
            <w:shd w:val="clear" w:color="auto" w:fill="FFFFFF"/>
          </w:tcPr>
          <w:p w14:paraId="68479992" w14:textId="61ECD404" w:rsidR="009725FE" w:rsidRPr="00663816" w:rsidRDefault="009725FE" w:rsidP="009725FE">
            <w:pPr>
              <w:pStyle w:val="CETBodytext"/>
              <w:ind w:right="-1"/>
              <w:jc w:val="left"/>
              <w:rPr>
                <w:rFonts w:cs="Arial"/>
                <w:szCs w:val="18"/>
                <w:highlight w:val="yellow"/>
                <w:lang w:val="en-GB"/>
              </w:rPr>
            </w:pPr>
            <w:r>
              <w:rPr>
                <w:rFonts w:cs="Arial"/>
                <w:szCs w:val="18"/>
                <w:lang w:val="en-GB"/>
              </w:rPr>
              <w:t>3</w:t>
            </w:r>
          </w:p>
        </w:tc>
        <w:tc>
          <w:tcPr>
            <w:tcW w:w="1275" w:type="dxa"/>
            <w:tcBorders>
              <w:top w:val="nil"/>
              <w:left w:val="nil"/>
              <w:bottom w:val="single" w:sz="12" w:space="0" w:color="008000"/>
              <w:right w:val="nil"/>
            </w:tcBorders>
            <w:shd w:val="clear" w:color="auto" w:fill="FFFFFF"/>
          </w:tcPr>
          <w:p w14:paraId="1DDB733F" w14:textId="58F00279" w:rsidR="009725FE" w:rsidRPr="00663816" w:rsidRDefault="009725FE" w:rsidP="009725FE">
            <w:pPr>
              <w:pStyle w:val="CETBodytext"/>
              <w:ind w:right="-1"/>
              <w:jc w:val="left"/>
              <w:rPr>
                <w:rFonts w:cs="Arial"/>
                <w:szCs w:val="18"/>
                <w:highlight w:val="yellow"/>
                <w:lang w:val="en-GB"/>
              </w:rPr>
            </w:pPr>
            <w:proofErr w:type="spellStart"/>
            <w:r>
              <w:rPr>
                <w:rFonts w:cs="Arial"/>
                <w:szCs w:val="18"/>
                <w:lang w:val="en-GB"/>
              </w:rPr>
              <w:t>Rc</w:t>
            </w:r>
            <w:proofErr w:type="spellEnd"/>
          </w:p>
        </w:tc>
        <w:tc>
          <w:tcPr>
            <w:tcW w:w="4253" w:type="dxa"/>
            <w:tcBorders>
              <w:top w:val="nil"/>
              <w:left w:val="nil"/>
              <w:bottom w:val="single" w:sz="12" w:space="0" w:color="008000"/>
              <w:right w:val="nil"/>
            </w:tcBorders>
            <w:shd w:val="clear" w:color="auto" w:fill="FFFFFF"/>
          </w:tcPr>
          <w:p w14:paraId="06E0FF5F" w14:textId="13E4B5E9" w:rsidR="009725FE" w:rsidRPr="00663816" w:rsidRDefault="009725FE" w:rsidP="009725FE">
            <w:pPr>
              <w:pStyle w:val="CETBodytext"/>
              <w:ind w:right="-1"/>
              <w:jc w:val="left"/>
              <w:rPr>
                <w:rFonts w:cs="Arial"/>
                <w:szCs w:val="18"/>
                <w:highlight w:val="yellow"/>
                <w:lang w:val="en-GB"/>
              </w:rPr>
            </w:pPr>
            <w:r>
              <w:rPr>
                <w:szCs w:val="18"/>
              </w:rPr>
              <w:t>C</w:t>
            </w:r>
            <w:r>
              <w:rPr>
                <w:szCs w:val="18"/>
                <w:vertAlign w:val="subscript"/>
              </w:rPr>
              <w:t>4</w:t>
            </w:r>
            <w:r>
              <w:rPr>
                <w:szCs w:val="18"/>
              </w:rPr>
              <w:t>F</w:t>
            </w:r>
            <w:r>
              <w:rPr>
                <w:szCs w:val="18"/>
                <w:vertAlign w:val="subscript"/>
              </w:rPr>
              <w:t>7</w:t>
            </w:r>
            <w:r>
              <w:rPr>
                <w:szCs w:val="18"/>
              </w:rPr>
              <w:t>NH</w:t>
            </w:r>
            <w:r>
              <w:rPr>
                <w:szCs w:val="18"/>
                <w:vertAlign w:val="subscript"/>
              </w:rPr>
              <w:t>2</w:t>
            </w:r>
            <w:r>
              <w:rPr>
                <w:szCs w:val="18"/>
              </w:rPr>
              <w:t>O + C</w:t>
            </w:r>
            <w:r>
              <w:rPr>
                <w:szCs w:val="18"/>
                <w:vertAlign w:val="subscript"/>
              </w:rPr>
              <w:t>4</w:t>
            </w:r>
            <w:r>
              <w:rPr>
                <w:szCs w:val="18"/>
              </w:rPr>
              <w:t>F</w:t>
            </w:r>
            <w:r>
              <w:rPr>
                <w:szCs w:val="18"/>
                <w:vertAlign w:val="subscript"/>
              </w:rPr>
              <w:t>7</w:t>
            </w:r>
            <w:r>
              <w:rPr>
                <w:szCs w:val="18"/>
              </w:rPr>
              <w:t xml:space="preserve">N </w:t>
            </w:r>
            <w:r>
              <w:rPr>
                <w:szCs w:val="18"/>
              </w:rPr>
              <w:sym w:font="Wingdings" w:char="F0E0"/>
            </w:r>
            <w:r>
              <w:rPr>
                <w:szCs w:val="18"/>
              </w:rPr>
              <w:t xml:space="preserve"> C</w:t>
            </w:r>
            <w:r>
              <w:rPr>
                <w:szCs w:val="18"/>
                <w:vertAlign w:val="subscript"/>
              </w:rPr>
              <w:t>8</w:t>
            </w:r>
            <w:r>
              <w:rPr>
                <w:szCs w:val="18"/>
              </w:rPr>
              <w:t>H</w:t>
            </w:r>
            <w:r>
              <w:rPr>
                <w:szCs w:val="18"/>
                <w:vertAlign w:val="subscript"/>
              </w:rPr>
              <w:t>2</w:t>
            </w:r>
            <w:r>
              <w:rPr>
                <w:szCs w:val="18"/>
              </w:rPr>
              <w:t>F</w:t>
            </w:r>
            <w:r>
              <w:rPr>
                <w:szCs w:val="18"/>
                <w:vertAlign w:val="subscript"/>
              </w:rPr>
              <w:t>14</w:t>
            </w:r>
            <w:r>
              <w:rPr>
                <w:szCs w:val="18"/>
              </w:rPr>
              <w:t>N</w:t>
            </w:r>
            <w:r>
              <w:rPr>
                <w:szCs w:val="18"/>
                <w:vertAlign w:val="subscript"/>
              </w:rPr>
              <w:t>2</w:t>
            </w:r>
            <w:r>
              <w:rPr>
                <w:szCs w:val="18"/>
              </w:rPr>
              <w:t>O</w:t>
            </w:r>
          </w:p>
        </w:tc>
        <w:tc>
          <w:tcPr>
            <w:tcW w:w="1843" w:type="dxa"/>
            <w:tcBorders>
              <w:top w:val="nil"/>
              <w:left w:val="nil"/>
              <w:bottom w:val="single" w:sz="12" w:space="0" w:color="008000"/>
              <w:right w:val="nil"/>
            </w:tcBorders>
            <w:shd w:val="clear" w:color="auto" w:fill="FFFFFF"/>
          </w:tcPr>
          <w:p w14:paraId="00B19DEE" w14:textId="48237779" w:rsidR="009725FE" w:rsidRPr="00663816" w:rsidRDefault="009725FE" w:rsidP="009725FE">
            <w:pPr>
              <w:pStyle w:val="CETBodytext"/>
              <w:ind w:right="-1"/>
              <w:jc w:val="left"/>
              <w:rPr>
                <w:rFonts w:cs="Arial"/>
                <w:szCs w:val="18"/>
                <w:highlight w:val="yellow"/>
                <w:lang w:val="en-GB"/>
              </w:rPr>
            </w:pPr>
            <w:r>
              <w:rPr>
                <w:rFonts w:cs="Arial"/>
                <w:szCs w:val="18"/>
                <w:lang w:val="en-GB"/>
              </w:rPr>
              <w:t>-1.48</w:t>
            </w:r>
          </w:p>
        </w:tc>
        <w:tc>
          <w:tcPr>
            <w:tcW w:w="1275" w:type="dxa"/>
            <w:tcBorders>
              <w:top w:val="nil"/>
              <w:left w:val="nil"/>
              <w:bottom w:val="single" w:sz="12" w:space="0" w:color="008000"/>
              <w:right w:val="nil"/>
            </w:tcBorders>
            <w:shd w:val="clear" w:color="auto" w:fill="FFFFFF"/>
          </w:tcPr>
          <w:p w14:paraId="390472B3" w14:textId="13AB2FE8" w:rsidR="009725FE" w:rsidRPr="00663816" w:rsidRDefault="009725FE" w:rsidP="009725FE">
            <w:pPr>
              <w:pStyle w:val="CETBodytext"/>
              <w:ind w:right="-1"/>
              <w:jc w:val="left"/>
              <w:rPr>
                <w:rFonts w:cs="Arial"/>
                <w:szCs w:val="18"/>
                <w:highlight w:val="yellow"/>
                <w:lang w:val="en-GB"/>
              </w:rPr>
            </w:pPr>
            <w:r>
              <w:rPr>
                <w:rFonts w:cs="Arial"/>
                <w:szCs w:val="18"/>
                <w:lang w:val="en-GB"/>
              </w:rPr>
              <w:t>23.8</w:t>
            </w:r>
          </w:p>
        </w:tc>
      </w:tr>
    </w:tbl>
    <w:p w14:paraId="165E8D2D" w14:textId="77777777" w:rsidR="00A51465" w:rsidRDefault="00A51465" w:rsidP="00E90A2E">
      <w:pPr>
        <w:pStyle w:val="ListParagraph"/>
        <w:ind w:left="0"/>
      </w:pPr>
    </w:p>
    <w:p w14:paraId="12860544" w14:textId="6C8342B3" w:rsidR="00220931" w:rsidRPr="00220931" w:rsidRDefault="00220931" w:rsidP="00E90A2E">
      <w:pPr>
        <w:pStyle w:val="ListParagraph"/>
        <w:ind w:left="0"/>
        <w:rPr>
          <w:rFonts w:asciiTheme="minorHAnsi" w:hAnsiTheme="minorHAnsi" w:cstheme="minorBidi"/>
          <w:sz w:val="22"/>
          <w:szCs w:val="22"/>
          <w:lang w:val="en-US"/>
        </w:rPr>
      </w:pPr>
      <w:r>
        <w:t xml:space="preserve">Another approach with the interaction of up to four water molecules reduces the energy barrier of the reaction Ra from 59.1 to 10 </w:t>
      </w:r>
      <w:r w:rsidR="00FE4E81">
        <w:t>k</w:t>
      </w:r>
      <w:r>
        <w:t xml:space="preserve">cal/mol (Figure 2). Which implies the strong </w:t>
      </w:r>
      <w:r w:rsidR="00894B5F">
        <w:t>catalysing</w:t>
      </w:r>
      <w:r>
        <w:t xml:space="preserve"> effect of water in the crystal’s generation phenomena. This suggests that the hydrogen bonding of the additional water molecules to the (C</w:t>
      </w:r>
      <w:r w:rsidRPr="00372D32">
        <w:rPr>
          <w:vertAlign w:val="subscript"/>
        </w:rPr>
        <w:t>3</w:t>
      </w:r>
      <w:r>
        <w:t>F</w:t>
      </w:r>
      <w:r w:rsidRPr="00372D32">
        <w:rPr>
          <w:vertAlign w:val="subscript"/>
        </w:rPr>
        <w:t>7</w:t>
      </w:r>
      <w:r>
        <w:t xml:space="preserve">CN-OH-H) reactant complex greatly promotes the addition processes of more than one water molecule. </w:t>
      </w:r>
      <w:r w:rsidRPr="00B4357C">
        <w:rPr>
          <w:lang w:val="fr-FR"/>
        </w:rPr>
        <w:t>C</w:t>
      </w:r>
      <w:r w:rsidRPr="00372D32">
        <w:rPr>
          <w:vertAlign w:val="subscript"/>
          <w:lang w:val="fr-FR"/>
        </w:rPr>
        <w:t>3</w:t>
      </w:r>
      <w:r w:rsidRPr="00B4357C">
        <w:rPr>
          <w:lang w:val="fr-FR"/>
        </w:rPr>
        <w:t>F</w:t>
      </w:r>
      <w:r w:rsidRPr="00372D32">
        <w:rPr>
          <w:vertAlign w:val="subscript"/>
          <w:lang w:val="fr-FR"/>
        </w:rPr>
        <w:t>10</w:t>
      </w:r>
      <w:r w:rsidRPr="00B4357C">
        <w:rPr>
          <w:lang w:val="fr-FR"/>
        </w:rPr>
        <w:t xml:space="preserve">O </w:t>
      </w:r>
      <w:r>
        <w:fldChar w:fldCharType="begin" w:fldLock="1"/>
      </w:r>
      <w:r w:rsidR="0020668B">
        <w:rPr>
          <w:lang w:val="fr-FR"/>
        </w:rPr>
        <w:instrText>ADDIN CSL_CITATION {"citationItems":[{"id":"ITEM-1","itemData":{"DOI":"10.1063/1.4990512","ISSN":"21583226","abstract":"SF6 is widely used in all kinds of high-voltage electrical equipment because of its excellent insulation and arc-extinguishing performance. However, this compound leads to serious greenhouse effect, which harms the environment. Many research institutions are now actively in search of SF6 alternative gas. C5F10O has attracted much attention as an alternative gas with low global warming potential (GWP) and excellent dielectric strength. In this paper, we analyzed the possible decomposition paths of C5F10O under micro-water environment through density functional theory. We also evaluated the ionization parameters and toxicity of the decomposition products. The results show that OH• and H• produced by H2O exhibited a catalytic effect on the decomposition of C5F10O. CF4, C2F6, C3F6, C3F8, C4F10, C5F12, C6F14, C3F7COH, C3F7OH, CF3COH, C3F7H, and CF3OH were produced in the micro-water environment. Based on molecular configuration calculation, the ionization parameters of these products were inferior to perfluorocarbons, such as C3F8, leading to reduced insulation performance of the system. Moreover, CF2O and HF are hazardous to human health and equipment safety. Results will provide a basis for further study of the insulation characteristic of the C5F10O gas mixture under micro-water condition to guide the formulation of their relevant international standards prior to engineering applications.","author":[{"dropping-particle":"","family":"Xiao","given":"Song","non-dropping-particle":"","parse-names":false,"suffix":""},{"dropping-particle":"","family":"Li","given":"Yi","non-dropping-particle":"","parse-names":false,"suffix":""},{"dropping-particle":"","family":"Zhang","given":"Xiaoxing","non-dropping-particle":"","parse-names":false,"suffix":""},{"dropping-particle":"","family":"Tian","given":"Shuangshuang","non-dropping-particle":"","parse-names":false,"suffix":""},{"dropping-particle":"","family":"Deng","given":"Zaitao","non-dropping-particle":"","parse-names":false,"suffix":""},{"dropping-particle":"","family":"Tang","given":"Ju","non-dropping-particle":"","parse-names":false,"suffix":""}],"container-title":"AIP Advances","id":"ITEM-1","issue":"6","issued":{"date-parts":[["2017","6","1"]]},"publisher":"American Institute of Physics Inc.","title":"Effects of micro-water on decomposition of the environment-friendly insulating medium C5F10O","type":"article-journal","volume":"7"},"uris":["http://www.mendeley.com/documents/?uuid=36a172ab-e8a0-3a18-bdfc-c8d938307915"]}],"mendeley":{"formattedCitation":"(Xiao &lt;i&gt;et al.&lt;/i&gt;, 2017)","plainTextFormattedCitation":"(Xiao et al., 2017)","previouslyFormattedCitation":"(Xiao &lt;i&gt;et al.&lt;/i&gt;, 2017)"},"properties":{"noteIndex":0},"schema":"https://github.com/citation-style-language/schema/raw/master/csl-citation.json"}</w:instrText>
      </w:r>
      <w:r>
        <w:fldChar w:fldCharType="separate"/>
      </w:r>
      <w:r w:rsidR="00B4357C" w:rsidRPr="0020668B">
        <w:rPr>
          <w:noProof/>
          <w:lang w:val="fr-FR"/>
        </w:rPr>
        <w:t xml:space="preserve">(Xiao </w:t>
      </w:r>
      <w:r w:rsidR="00B4357C" w:rsidRPr="0020668B">
        <w:rPr>
          <w:i/>
          <w:noProof/>
          <w:lang w:val="fr-FR"/>
        </w:rPr>
        <w:t>et al.</w:t>
      </w:r>
      <w:r w:rsidR="00B4357C" w:rsidRPr="0020668B">
        <w:rPr>
          <w:noProof/>
          <w:lang w:val="fr-FR"/>
        </w:rPr>
        <w:t>, 2017)</w:t>
      </w:r>
      <w:r>
        <w:fldChar w:fldCharType="end"/>
      </w:r>
      <w:r w:rsidRPr="0020668B">
        <w:rPr>
          <w:lang w:val="fr-FR"/>
        </w:rPr>
        <w:t xml:space="preserve">, NSCI </w:t>
      </w:r>
      <w:r>
        <w:fldChar w:fldCharType="begin" w:fldLock="1"/>
      </w:r>
      <w:r w:rsidR="0020668B" w:rsidRPr="0020668B">
        <w:rPr>
          <w:lang w:val="fr-FR"/>
        </w:rPr>
        <w:instrText>ADDIN CSL_CITATION {"citationItems":[{"id":"ITEM-1","itemData":{"author":[{"dropping-particle":"","family":"Zhen Guo, Cunyuan Zhao, David Lee Phillips, Evan G. Robertson","given":"and Don McNaughton","non-dropping-particle":"","parse-names":false,"suffix":""}],"container-title":"The journal of physical chemistry. A","id":"ITEM-1","issued":{"date-parts":[["2008"]]},"page":"8561-8568","title":"An Experimental and Theoretical Study of NSCl Decomposition in the Presence of Trace Amounts of Water","type":"article-journal","volume":"112"},"uris":["http://www.mendeley.com/documents/?uuid=406c57ac-b301-4c59-9c97-f23944fb8ec0"]}],"mendeley":{"formattedCitation":"(Zhen Guo, Cunyuan Zhao, David Lee Phillips, Evan G. Robertson, 2008)","plainTextFormattedCitation":"(Zhen Guo, Cunyuan Zhao, David Lee Phillips, Evan G. Robertson, 2008)","previouslyFormattedCitation":"(Zhen Guo, Cunyuan Zhao, David Lee Phillips, Evan G. Robertson, 2008)"},"properties":{"noteIndex":0},"schema":"https://github.com/citation-style-language/schema/raw/master/csl-citation.json"}</w:instrText>
      </w:r>
      <w:r>
        <w:fldChar w:fldCharType="separate"/>
      </w:r>
      <w:r w:rsidR="00B4357C" w:rsidRPr="0020668B">
        <w:rPr>
          <w:noProof/>
          <w:lang w:val="fr-FR"/>
        </w:rPr>
        <w:t>(Zhen Guo, Cunyuan Zhao, David Lee Phillips, Evan G. Robertson, 2008)</w:t>
      </w:r>
      <w:r>
        <w:fldChar w:fldCharType="end"/>
      </w:r>
      <w:r w:rsidRPr="0020668B">
        <w:rPr>
          <w:lang w:val="fr-FR"/>
        </w:rPr>
        <w:t xml:space="preserve">, and </w:t>
      </w:r>
      <w:proofErr w:type="spellStart"/>
      <w:r w:rsidRPr="0020668B">
        <w:rPr>
          <w:lang w:val="fr-FR"/>
        </w:rPr>
        <w:t>aldehyde</w:t>
      </w:r>
      <w:proofErr w:type="spellEnd"/>
      <w:r w:rsidRPr="0020668B">
        <w:rPr>
          <w:lang w:val="fr-FR"/>
        </w:rPr>
        <w:t xml:space="preserve"> </w:t>
      </w:r>
      <w:r>
        <w:rPr>
          <w:b/>
          <w:bCs/>
          <w:i/>
          <w:iCs/>
        </w:rPr>
        <w:fldChar w:fldCharType="begin" w:fldLock="1"/>
      </w:r>
      <w:r w:rsidR="0020668B" w:rsidRPr="0020668B">
        <w:rPr>
          <w:b/>
          <w:bCs/>
          <w:i/>
          <w:iCs/>
          <w:lang w:val="fr-FR"/>
        </w:rPr>
        <w:instrText>ADDIN CSL_CITATION {"citationItems":[{"id":"ITEM-1","itemData":{"DOI":"10.1039/c8ra01252k","ISSN":"20462069","abstract":"Density functional theory calculations were performed in order to reveal the mysterious catalytic step of the biosynthesis of estrogens. The results indicated two reactive oxidants, ferric-peroxo and ferryl-o</w:instrText>
      </w:r>
      <w:r w:rsidR="0020668B">
        <w:rPr>
          <w:b/>
          <w:bCs/>
          <w:i/>
          <w:iCs/>
          <w:lang w:val="en-US"/>
        </w:rPr>
        <w:instrText>xo (compound I) species, to participate in the conversion of androgens to estrogens. The ferric-peroxo species was determined, according to our derived mechanism, to act in the oxidation of 19-OH androgen to yield the 19,19-gem-diol intermediate and generate the ferryl-oxo (compound I) species. This species was then modeled to effect, in the final step, an abstraction of H from an O-H group of 19,19-gem-diol to give the experimentally observed products. We considered our new mechanistic scenario to reasonably explain the latest experimental observations and to provide deep insight complementing the newly accepted compound I (Cpd I) mechanism.","author":[{"dropping-particle":"","family":"Wang","given":"Xiang Yun","non-dropping-particle":"","parse-names":false,"suffix":""},{"dropping-particle":"","family":"Yan","given":"Hui Min","non-dropping-particle":"","parse-names":false,"suffix":""},{"dropping-particle":"","family":"Han","given":"Yan Li","non-dropping-particle":"","parse-names":false,"suffix":""},{"dropping-particle":"","family":"Zhang","given":"Zhu Xia","non-dropping-particle":"","parse-names":false,"suffix":""},{"dropping-particle":"","family":"Zhang","given":"Xiao Yun","non-dropping-particle":"","parse-names":false,"suffix":""},{"dropping-particle":"","family":"Yang","given":"Wen Jing","non-dropping-particle":"","parse-names":false,"suffix":""},{"dropping-particle":"","family":"Guo","given":"Zhen","non-dropping-particle":"","parse-names":false,"suffix":""},{"dropping-particle":"","family":"Li","given":"Yan Rong","non-dropping-particle":"","parse-names":false,"suffix":""}],"container-title":"RSC Advances","id":"ITEM-1","issue":"27","issued":{"date-parts":[["2018"]]},"page":"15196-15201","publisher":"Royal Society of Chemistry","title":"Do two oxidants (ferric-peroxo and ferryl-oxo species) act in the biosynthesis of estrogens? A DFT calculation","type":"article-journal","volume":"8"},"uris":["http://www.mendeley.com/documents/?uuid=6876aff1-9aaa-4984-a715-455d0443cc00"]}],"mendeley":{"formattedCitation":"(Wang &lt;i&gt;et al.&lt;/i&gt;, 2018)","plainTextFormattedCitation":"(Wang et al., 2018)","previouslyFormattedCitation":"(Wang &lt;i&gt;et al.&lt;/i&gt;, 2018)"},"properties":{"noteIndex":0},"schema":"https://github.com/citation-style-language/schema/raw/master/csl-citation.json"}</w:instrText>
      </w:r>
      <w:r>
        <w:rPr>
          <w:b/>
          <w:bCs/>
          <w:i/>
          <w:iCs/>
        </w:rPr>
        <w:fldChar w:fldCharType="separate"/>
      </w:r>
      <w:r w:rsidR="00B4357C" w:rsidRPr="00B4357C">
        <w:rPr>
          <w:bCs/>
          <w:iCs/>
          <w:noProof/>
        </w:rPr>
        <w:t xml:space="preserve">(Wang </w:t>
      </w:r>
      <w:r w:rsidR="00B4357C" w:rsidRPr="00B4357C">
        <w:rPr>
          <w:bCs/>
          <w:i/>
          <w:iCs/>
          <w:noProof/>
        </w:rPr>
        <w:t>et al.</w:t>
      </w:r>
      <w:r w:rsidR="00B4357C" w:rsidRPr="00B4357C">
        <w:rPr>
          <w:bCs/>
          <w:iCs/>
          <w:noProof/>
        </w:rPr>
        <w:t>, 2018)</w:t>
      </w:r>
      <w:r>
        <w:fldChar w:fldCharType="end"/>
      </w:r>
      <w:r>
        <w:t xml:space="preserve">, molecules are also showing the same </w:t>
      </w:r>
      <w:r w:rsidR="00894B5F">
        <w:t>behaviour</w:t>
      </w:r>
      <w:r>
        <w:t xml:space="preserve">. These theoretical investigations suggest the strict removal and through-monitored humidity value in the circuit breaker to prevent any kind of crystal formation, ensuring human and device safety.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7"/>
      </w:tblGrid>
      <w:tr w:rsidR="00220931" w14:paraId="0EF9A4F7" w14:textId="77777777" w:rsidTr="00CF031F">
        <w:trPr>
          <w:jc w:val="center"/>
        </w:trPr>
        <w:tc>
          <w:tcPr>
            <w:tcW w:w="9062" w:type="dxa"/>
            <w:vAlign w:val="center"/>
            <w:hideMark/>
          </w:tcPr>
          <w:p w14:paraId="3A84AD50" w14:textId="154A932C" w:rsidR="00220931" w:rsidRDefault="00220931" w:rsidP="00CF031F">
            <w:pPr>
              <w:spacing w:line="240" w:lineRule="auto"/>
              <w:jc w:val="left"/>
              <w:rPr>
                <w:b/>
                <w:bCs/>
                <w:sz w:val="24"/>
                <w:szCs w:val="24"/>
              </w:rPr>
            </w:pPr>
            <w:r>
              <w:rPr>
                <w:b/>
                <w:noProof/>
                <w:sz w:val="24"/>
                <w:szCs w:val="24"/>
              </w:rPr>
              <w:lastRenderedPageBreak/>
              <w:drawing>
                <wp:inline distT="0" distB="0" distL="0" distR="0" wp14:anchorId="7F83CB35" wp14:editId="590F6C3C">
                  <wp:extent cx="3854856" cy="3273633"/>
                  <wp:effectExtent l="0" t="0" r="0" b="3175"/>
                  <wp:docPr id="2503738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59922" cy="3277935"/>
                          </a:xfrm>
                          <a:prstGeom prst="rect">
                            <a:avLst/>
                          </a:prstGeom>
                          <a:noFill/>
                          <a:ln>
                            <a:noFill/>
                          </a:ln>
                        </pic:spPr>
                      </pic:pic>
                    </a:graphicData>
                  </a:graphic>
                </wp:inline>
              </w:drawing>
            </w:r>
          </w:p>
        </w:tc>
      </w:tr>
      <w:tr w:rsidR="00220931" w14:paraId="20596583" w14:textId="77777777" w:rsidTr="00CF031F">
        <w:trPr>
          <w:jc w:val="center"/>
        </w:trPr>
        <w:tc>
          <w:tcPr>
            <w:tcW w:w="9062" w:type="dxa"/>
            <w:vAlign w:val="center"/>
            <w:hideMark/>
          </w:tcPr>
          <w:p w14:paraId="1A3A5579" w14:textId="593A11EA" w:rsidR="00220931" w:rsidRPr="00F83044" w:rsidRDefault="00220931" w:rsidP="00CF031F">
            <w:pPr>
              <w:spacing w:line="240" w:lineRule="auto"/>
              <w:jc w:val="left"/>
              <w:rPr>
                <w:i/>
                <w:iCs/>
                <w:szCs w:val="18"/>
              </w:rPr>
            </w:pPr>
            <w:r w:rsidRPr="00F83044">
              <w:rPr>
                <w:i/>
                <w:iCs/>
                <w:szCs w:val="18"/>
              </w:rPr>
              <w:t>Figure 2: Reaction path of C</w:t>
            </w:r>
            <w:r w:rsidRPr="00372D32">
              <w:rPr>
                <w:i/>
                <w:iCs/>
                <w:szCs w:val="18"/>
                <w:vertAlign w:val="subscript"/>
              </w:rPr>
              <w:t>4</w:t>
            </w:r>
            <w:r w:rsidRPr="00F83044">
              <w:rPr>
                <w:i/>
                <w:iCs/>
                <w:szCs w:val="18"/>
              </w:rPr>
              <w:t>F</w:t>
            </w:r>
            <w:r w:rsidRPr="00372D32">
              <w:rPr>
                <w:i/>
                <w:iCs/>
                <w:szCs w:val="18"/>
                <w:vertAlign w:val="subscript"/>
              </w:rPr>
              <w:t>7</w:t>
            </w:r>
            <w:r w:rsidRPr="00F83044">
              <w:rPr>
                <w:i/>
                <w:iCs/>
                <w:szCs w:val="18"/>
              </w:rPr>
              <w:t>N with (n)H</w:t>
            </w:r>
            <w:r w:rsidRPr="00F83044">
              <w:rPr>
                <w:i/>
                <w:iCs/>
                <w:szCs w:val="18"/>
                <w:vertAlign w:val="subscript"/>
              </w:rPr>
              <w:t>2</w:t>
            </w:r>
            <w:r w:rsidRPr="00F83044">
              <w:rPr>
                <w:i/>
                <w:iCs/>
                <w:szCs w:val="18"/>
              </w:rPr>
              <w:t xml:space="preserve">0 water molecule relative to the energy of </w:t>
            </w:r>
          </w:p>
          <w:p w14:paraId="4AEDD035" w14:textId="77777777" w:rsidR="00220931" w:rsidRDefault="00220931" w:rsidP="00CF031F">
            <w:pPr>
              <w:spacing w:line="240" w:lineRule="auto"/>
              <w:jc w:val="left"/>
              <w:rPr>
                <w:b/>
                <w:bCs/>
                <w:sz w:val="24"/>
                <w:szCs w:val="24"/>
                <w:lang w:val="fr-FR"/>
              </w:rPr>
            </w:pPr>
            <w:r w:rsidRPr="00F83044">
              <w:rPr>
                <w:i/>
                <w:iCs/>
                <w:szCs w:val="18"/>
              </w:rPr>
              <w:t xml:space="preserve">(-982,436603 </w:t>
            </w:r>
            <w:proofErr w:type="spellStart"/>
            <w:r w:rsidRPr="00F83044">
              <w:rPr>
                <w:i/>
                <w:iCs/>
                <w:szCs w:val="18"/>
              </w:rPr>
              <w:t>a.u</w:t>
            </w:r>
            <w:proofErr w:type="spellEnd"/>
            <w:r w:rsidRPr="00F83044">
              <w:rPr>
                <w:i/>
                <w:iCs/>
                <w:szCs w:val="18"/>
              </w:rPr>
              <w:t>)</w:t>
            </w:r>
          </w:p>
        </w:tc>
      </w:tr>
    </w:tbl>
    <w:p w14:paraId="1C739AE3" w14:textId="77777777" w:rsidR="00E90A2E" w:rsidRDefault="00E90A2E" w:rsidP="00E90A2E">
      <w:pPr>
        <w:pStyle w:val="ListParagraph"/>
        <w:ind w:left="0"/>
      </w:pPr>
    </w:p>
    <w:p w14:paraId="2098076B" w14:textId="0BB94FDF" w:rsidR="00220931" w:rsidRPr="00220931" w:rsidRDefault="00220931" w:rsidP="00E90A2E">
      <w:pPr>
        <w:pStyle w:val="ListParagraph"/>
        <w:ind w:left="0"/>
        <w:rPr>
          <w:rFonts w:asciiTheme="minorHAnsi" w:hAnsiTheme="minorHAnsi" w:cstheme="minorBidi"/>
          <w:sz w:val="22"/>
          <w:szCs w:val="22"/>
          <w:lang w:val="en-US"/>
        </w:rPr>
      </w:pPr>
      <w:r>
        <w:t xml:space="preserve">Temperature rises above ambient conditions during arcing in the circuit breaker; therefore, it should be considered to determine the free energy at a higher temperature. Figure 3 illustrates the relationship between the Gibbs free (∆G) energy within the temperature (K) range of 293 K to 3000 K through Gaussian thermochemistry data </w:t>
      </w:r>
      <w:r>
        <w:fldChar w:fldCharType="begin" w:fldLock="1"/>
      </w:r>
      <w:r w:rsidR="0020668B">
        <w:instrText>ADDIN CSL_CITATION {"citationItems":[{"id":"ITEM-1","itemData":{"DOI":"10.1016/j.ijms.2007.04.005","ISSN":"13873806","abstract":"The purpose of this paper is to explain how various thermochemical values are computed in Gaussian . The paper documents what equations are used to calculate the quantities, but doesn&amp;apos;t explain them in great detail, so a basic understanding of statistical mechanics ...","author":[{"dropping-particle":"","family":"Ochterski","given":"Joseph W","non-dropping-particle":"","parse-names":false,"suffix":""},{"dropping-particle":"","family":"Ph","given":"D","non-dropping-particle":"","parse-names":false,"suffix":""}],"container-title":"Gaussian Inc Pittsburgh PA","id":"ITEM-1","issue":"1","issued":{"date-parts":[["2000"]]},"page":"1-19","title":"Thermochemistry in Gaussian","type":"article-journal","volume":"264"},"uris":["http://www.mendeley.com/documents/?uuid=302e2fe7-13f7-43a6-828f-436ac1b0f8a2"]}],"mendeley":{"formattedCitation":"(Ochterski and Ph, 2000)","plainTextFormattedCitation":"(Ochterski and Ph, 2000)","previouslyFormattedCitation":"(Ochterski and Ph, 2000)"},"properties":{"noteIndex":0},"schema":"https://github.com/citation-style-language/schema/raw/master/csl-citation.json"}</w:instrText>
      </w:r>
      <w:r>
        <w:fldChar w:fldCharType="separate"/>
      </w:r>
      <w:r w:rsidR="00B4357C" w:rsidRPr="00B4357C">
        <w:rPr>
          <w:noProof/>
        </w:rPr>
        <w:t>(Ochterski and Ph, 2000)</w:t>
      </w:r>
      <w:r>
        <w:fldChar w:fldCharType="end"/>
      </w:r>
      <w:r>
        <w:t xml:space="preserve">. All six chemical reactions have a Gibbs free energy value </w:t>
      </w:r>
      <w:r w:rsidRPr="00290A04">
        <w:t xml:space="preserve">greater than zero, thereby implying that the fluoronitrile hydrolysis process cannot be carried out spontaneously. With the increment of temperature, the Gibbs free energy of reactions Ra, </w:t>
      </w:r>
      <w:r w:rsidR="00FA2C16" w:rsidRPr="00290A04">
        <w:t xml:space="preserve">and </w:t>
      </w:r>
      <w:r w:rsidRPr="00290A04">
        <w:t>Rb,</w:t>
      </w:r>
      <w:r w:rsidR="00FA2C16" w:rsidRPr="00290A04">
        <w:t xml:space="preserve"> </w:t>
      </w:r>
      <w:r w:rsidRPr="00290A04">
        <w:t xml:space="preserve">abruptly decreases, while for reaction </w:t>
      </w:r>
      <w:proofErr w:type="spellStart"/>
      <w:r w:rsidRPr="00290A04">
        <w:t>R</w:t>
      </w:r>
      <w:r w:rsidR="00FA2C16" w:rsidRPr="00290A04">
        <w:t>c</w:t>
      </w:r>
      <w:proofErr w:type="spellEnd"/>
      <w:r w:rsidRPr="00290A04">
        <w:t>, it remains consistently constant.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7"/>
      </w:tblGrid>
      <w:tr w:rsidR="00220931" w14:paraId="464E4F41" w14:textId="77777777" w:rsidTr="00E90A2E">
        <w:tc>
          <w:tcPr>
            <w:tcW w:w="9062" w:type="dxa"/>
            <w:vAlign w:val="center"/>
            <w:hideMark/>
          </w:tcPr>
          <w:p w14:paraId="03614986" w14:textId="75A8971D" w:rsidR="00220931" w:rsidRDefault="00733FF1" w:rsidP="00CF031F">
            <w:pPr>
              <w:spacing w:line="240" w:lineRule="auto"/>
              <w:jc w:val="left"/>
              <w:rPr>
                <w:b/>
                <w:bCs/>
                <w:sz w:val="24"/>
                <w:szCs w:val="24"/>
              </w:rPr>
            </w:pPr>
            <w:r>
              <w:rPr>
                <w:b/>
                <w:bCs/>
                <w:noProof/>
                <w:sz w:val="24"/>
                <w:szCs w:val="24"/>
              </w:rPr>
              <w:drawing>
                <wp:inline distT="0" distB="0" distL="0" distR="0" wp14:anchorId="4B2C68DB" wp14:editId="35492075">
                  <wp:extent cx="4060169" cy="2435763"/>
                  <wp:effectExtent l="0" t="0" r="0" b="3175"/>
                  <wp:docPr id="20428867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72892" cy="2443396"/>
                          </a:xfrm>
                          <a:prstGeom prst="rect">
                            <a:avLst/>
                          </a:prstGeom>
                          <a:noFill/>
                        </pic:spPr>
                      </pic:pic>
                    </a:graphicData>
                  </a:graphic>
                </wp:inline>
              </w:drawing>
            </w:r>
          </w:p>
        </w:tc>
      </w:tr>
      <w:tr w:rsidR="00220931" w:rsidRPr="00220931" w14:paraId="40D13E38" w14:textId="77777777" w:rsidTr="00E90A2E">
        <w:tc>
          <w:tcPr>
            <w:tcW w:w="9062" w:type="dxa"/>
            <w:vAlign w:val="center"/>
            <w:hideMark/>
          </w:tcPr>
          <w:p w14:paraId="45434595" w14:textId="5FD2C00C" w:rsidR="00220931" w:rsidRPr="00F83044" w:rsidRDefault="00220931" w:rsidP="00CF031F">
            <w:pPr>
              <w:spacing w:line="240" w:lineRule="auto"/>
              <w:jc w:val="left"/>
              <w:rPr>
                <w:i/>
                <w:iCs/>
                <w:szCs w:val="18"/>
                <w:highlight w:val="yellow"/>
              </w:rPr>
            </w:pPr>
            <w:r w:rsidRPr="00F83044">
              <w:rPr>
                <w:i/>
                <w:iCs/>
                <w:szCs w:val="18"/>
              </w:rPr>
              <w:t xml:space="preserve">Figure 3: Variation of Gibbs free energy of fluoronitrile hydrolysis reactions under the influence of temperature (K) </w:t>
            </w:r>
          </w:p>
        </w:tc>
      </w:tr>
    </w:tbl>
    <w:p w14:paraId="371E7321" w14:textId="77777777" w:rsidR="005E793A" w:rsidRDefault="005E793A" w:rsidP="005E793A">
      <w:pPr>
        <w:pStyle w:val="CETBodytext"/>
      </w:pPr>
    </w:p>
    <w:p w14:paraId="17C9F85E" w14:textId="32C1EF8E" w:rsidR="007918FE" w:rsidRDefault="000212D9" w:rsidP="000212D9">
      <w:pPr>
        <w:pStyle w:val="CETHeading1"/>
      </w:pPr>
      <w:r>
        <w:t>Conclusion</w:t>
      </w:r>
    </w:p>
    <w:p w14:paraId="18B933C4" w14:textId="7B0762A8" w:rsidR="00280FAF" w:rsidRDefault="00663B56" w:rsidP="00072BA5">
      <w:r>
        <w:t xml:space="preserve">In this study, a DFT-assisted theoretical study is conducted to explore the interaction between </w:t>
      </w:r>
      <w:proofErr w:type="spellStart"/>
      <w:r>
        <w:t>heptafluoroisobutryle</w:t>
      </w:r>
      <w:proofErr w:type="spellEnd"/>
      <w:r>
        <w:t xml:space="preserve"> (C</w:t>
      </w:r>
      <w:r>
        <w:rPr>
          <w:vertAlign w:val="subscript"/>
        </w:rPr>
        <w:t>4</w:t>
      </w:r>
      <w:r>
        <w:t>F</w:t>
      </w:r>
      <w:r>
        <w:rPr>
          <w:vertAlign w:val="subscript"/>
        </w:rPr>
        <w:t>7</w:t>
      </w:r>
      <w:r>
        <w:t>N) and water and compute six chemical reactions. MO62X hybrid functional with the combination of 6-311+G(</w:t>
      </w:r>
      <w:proofErr w:type="spellStart"/>
      <w:r>
        <w:t>d,p</w:t>
      </w:r>
      <w:proofErr w:type="spellEnd"/>
      <w:r>
        <w:t>) basis set</w:t>
      </w:r>
      <w:r w:rsidR="00AF58AC">
        <w:t>s</w:t>
      </w:r>
      <w:r>
        <w:t xml:space="preserve"> was utilized to compute the chemical reaction. All the molecular geometry is optimized, and the transition state is confirmed by the presence of one imaginary frequency. Amid </w:t>
      </w:r>
      <w:r>
        <w:lastRenderedPageBreak/>
        <w:t>(C</w:t>
      </w:r>
      <w:r w:rsidRPr="00A527E6">
        <w:rPr>
          <w:vertAlign w:val="subscript"/>
        </w:rPr>
        <w:t>4</w:t>
      </w:r>
      <w:r>
        <w:t>H</w:t>
      </w:r>
      <w:r w:rsidRPr="00A527E6">
        <w:rPr>
          <w:vertAlign w:val="subscript"/>
        </w:rPr>
        <w:t>2</w:t>
      </w:r>
      <w:r>
        <w:t>F</w:t>
      </w:r>
      <w:r w:rsidRPr="00A527E6">
        <w:rPr>
          <w:vertAlign w:val="subscript"/>
        </w:rPr>
        <w:t>7</w:t>
      </w:r>
      <w:r>
        <w:t>NO)</w:t>
      </w:r>
      <w:r w:rsidR="00AF58AC">
        <w:t xml:space="preserve">, and </w:t>
      </w:r>
      <w:r>
        <w:t>dimer (</w:t>
      </w:r>
      <w:r w:rsidRPr="007C6043">
        <w:t>C</w:t>
      </w:r>
      <w:r w:rsidRPr="007C6043">
        <w:rPr>
          <w:vertAlign w:val="subscript"/>
        </w:rPr>
        <w:t>8</w:t>
      </w:r>
      <w:r w:rsidRPr="007C6043">
        <w:t>H</w:t>
      </w:r>
      <w:r w:rsidRPr="007C6043">
        <w:rPr>
          <w:vertAlign w:val="subscript"/>
        </w:rPr>
        <w:t>2</w:t>
      </w:r>
      <w:r w:rsidRPr="007C6043">
        <w:t>F</w:t>
      </w:r>
      <w:r w:rsidRPr="007C6043">
        <w:rPr>
          <w:vertAlign w:val="subscript"/>
        </w:rPr>
        <w:t>14</w:t>
      </w:r>
      <w:r w:rsidRPr="007C6043">
        <w:t>N</w:t>
      </w:r>
      <w:r w:rsidRPr="007C6043">
        <w:rPr>
          <w:vertAlign w:val="subscript"/>
        </w:rPr>
        <w:t>2</w:t>
      </w:r>
      <w:r w:rsidRPr="007C6043">
        <w:t>O)</w:t>
      </w:r>
      <w:r w:rsidR="00AF58AC">
        <w:t xml:space="preserve"> </w:t>
      </w:r>
      <w:r w:rsidRPr="007C6043">
        <w:t>are</w:t>
      </w:r>
      <w:r>
        <w:t xml:space="preserve"> the main molecules produced through the hydrolysis of fluoronitrile. Among all the six-chemical reactions, the reaction (Ra) is termed a rate-determining step with an energy barrier of 59.1 kcal/mol. The energy value suddenly dropped to 10 kcal/mol from 59.1 kcal/mol by the addition of four water molecules in the first chemical reaction, indicating the small quantity of water is enough to initiate the reaction. Gibbs free energy (∆G) in the temperature range from ambient to 3000 K, confirming that all the reaction is spontaneous except reaction Rd. The DFT-assisted study of fluoronitrile hydrolysis provided valuable insights into the reaction energies of all steps, advancing in the experimental design to optimize conditions and remove byproduct formation.</w:t>
      </w:r>
    </w:p>
    <w:p w14:paraId="07A6D20F" w14:textId="4A6BB8B3" w:rsidR="00072BA5" w:rsidRPr="00072BA5" w:rsidRDefault="00072BA5" w:rsidP="00072BA5">
      <w:pPr>
        <w:rPr>
          <w:rFonts w:asciiTheme="minorHAnsi" w:hAnsiTheme="minorHAnsi"/>
          <w:sz w:val="22"/>
          <w:lang w:val="en-US"/>
        </w:rPr>
        <w:sectPr w:rsidR="00072BA5" w:rsidRPr="00072BA5" w:rsidSect="00DC73EE">
          <w:type w:val="continuous"/>
          <w:pgSz w:w="11906" w:h="16838" w:code="9"/>
          <w:pgMar w:top="1701" w:right="1418" w:bottom="1701" w:left="1701" w:header="1701" w:footer="0" w:gutter="0"/>
          <w:cols w:space="708"/>
          <w:formProt w:val="0"/>
          <w:titlePg/>
          <w:docGrid w:linePitch="360"/>
        </w:sectPr>
      </w:pPr>
    </w:p>
    <w:p w14:paraId="459D05E6" w14:textId="77777777" w:rsidR="00600535" w:rsidRPr="00B57B36" w:rsidRDefault="00600535" w:rsidP="00600535">
      <w:pPr>
        <w:pStyle w:val="CETAcknowledgementstitle"/>
      </w:pPr>
      <w:r w:rsidRPr="00B57B36">
        <w:t>Acknowledgments</w:t>
      </w:r>
    </w:p>
    <w:p w14:paraId="33F8138F" w14:textId="15004DCE" w:rsidR="00600535" w:rsidRPr="00B57B36" w:rsidRDefault="00416DCA" w:rsidP="00600535">
      <w:pPr>
        <w:pStyle w:val="CETBodytext"/>
        <w:rPr>
          <w:lang w:val="en-GB"/>
        </w:rPr>
      </w:pPr>
      <w:r w:rsidRPr="00416DCA">
        <w:rPr>
          <w:lang w:val="en-GB"/>
        </w:rPr>
        <w:t xml:space="preserve">This work was financially supported by </w:t>
      </w:r>
      <w:r>
        <w:rPr>
          <w:lang w:val="en-GB"/>
        </w:rPr>
        <w:t>(</w:t>
      </w:r>
      <w:r w:rsidRPr="00416DCA">
        <w:rPr>
          <w:lang w:val="en-GB"/>
        </w:rPr>
        <w:t xml:space="preserve">Conventions </w:t>
      </w:r>
      <w:proofErr w:type="spellStart"/>
      <w:r w:rsidRPr="00416DCA">
        <w:rPr>
          <w:lang w:val="en-GB"/>
        </w:rPr>
        <w:t>industrielles</w:t>
      </w:r>
      <w:proofErr w:type="spellEnd"/>
      <w:r w:rsidRPr="00416DCA">
        <w:rPr>
          <w:lang w:val="en-GB"/>
        </w:rPr>
        <w:t xml:space="preserve"> de formation par la recherche</w:t>
      </w:r>
      <w:r>
        <w:rPr>
          <w:lang w:val="en-GB"/>
        </w:rPr>
        <w:t>)</w:t>
      </w:r>
      <w:r w:rsidRPr="00416DCA">
        <w:rPr>
          <w:lang w:val="en-GB"/>
        </w:rPr>
        <w:t xml:space="preserve"> (</w:t>
      </w:r>
      <w:r w:rsidRPr="00416DCA">
        <w:rPr>
          <w:b/>
          <w:bCs/>
          <w:lang w:val="en-GB"/>
        </w:rPr>
        <w:t>C</w:t>
      </w:r>
      <w:r>
        <w:rPr>
          <w:b/>
          <w:bCs/>
          <w:lang w:val="en-GB"/>
        </w:rPr>
        <w:t>IFRE</w:t>
      </w:r>
      <w:r w:rsidRPr="00416DCA">
        <w:rPr>
          <w:lang w:val="en-GB"/>
        </w:rPr>
        <w:t>) and GE VERNOVA</w:t>
      </w:r>
      <w:r w:rsidR="00EF3B24">
        <w:rPr>
          <w:lang w:val="en-GB"/>
        </w:rPr>
        <w:t>,</w:t>
      </w:r>
      <w:r w:rsidRPr="00416DCA">
        <w:rPr>
          <w:lang w:val="en-GB"/>
        </w:rPr>
        <w:t xml:space="preserve"> Grid Solutions. Access to the theoretical software was graciously provided by PSL Chimie </w:t>
      </w:r>
      <w:proofErr w:type="spellStart"/>
      <w:r w:rsidRPr="00416DCA">
        <w:rPr>
          <w:lang w:val="en-GB"/>
        </w:rPr>
        <w:t>ParisTech</w:t>
      </w:r>
      <w:proofErr w:type="spellEnd"/>
      <w:r w:rsidRPr="00416DCA">
        <w:rPr>
          <w:lang w:val="en-GB"/>
        </w:rPr>
        <w:t>.</w:t>
      </w:r>
    </w:p>
    <w:p w14:paraId="03CEA04C" w14:textId="19B570AC" w:rsidR="00C52C3C" w:rsidRDefault="00600535" w:rsidP="00B4357C">
      <w:pPr>
        <w:pStyle w:val="CETReference"/>
      </w:pPr>
      <w:r w:rsidRPr="00B57B36">
        <w:t>References</w:t>
      </w:r>
    </w:p>
    <w:p w14:paraId="28E8379D" w14:textId="77777777" w:rsidR="00C52C3C" w:rsidRDefault="00C52C3C" w:rsidP="00E65B91">
      <w:pPr>
        <w:pStyle w:val="CETReferencetext"/>
      </w:pPr>
    </w:p>
    <w:p w14:paraId="3126ED47" w14:textId="3B54F225" w:rsidR="0020668B" w:rsidRPr="00D63A77" w:rsidRDefault="00CB58C4" w:rsidP="0020668B">
      <w:pPr>
        <w:widowControl w:val="0"/>
        <w:autoSpaceDE w:val="0"/>
        <w:autoSpaceDN w:val="0"/>
        <w:adjustRightInd w:val="0"/>
        <w:spacing w:line="240" w:lineRule="auto"/>
        <w:rPr>
          <w:rFonts w:cs="Arial"/>
          <w:noProof/>
          <w:szCs w:val="24"/>
          <w:lang w:val="fr-FR"/>
        </w:rPr>
      </w:pPr>
      <w:r>
        <w:fldChar w:fldCharType="begin" w:fldLock="1"/>
      </w:r>
      <w:r>
        <w:instrText xml:space="preserve">ADDIN Mendeley Bibliography CSL_BIBLIOGRAPHY </w:instrText>
      </w:r>
      <w:r>
        <w:fldChar w:fldCharType="separate"/>
      </w:r>
      <w:r w:rsidR="0020668B" w:rsidRPr="0020668B">
        <w:rPr>
          <w:rFonts w:cs="Arial"/>
          <w:noProof/>
          <w:szCs w:val="24"/>
        </w:rPr>
        <w:t xml:space="preserve">Barbosa, L.A.M.M. and Van Santen, R.A. (2000) ‘A systematic study of the ancillary effect of different molecules on the acetonitrile hydrolysis’, </w:t>
      </w:r>
      <w:r w:rsidR="0020668B" w:rsidRPr="0020668B">
        <w:rPr>
          <w:rFonts w:cs="Arial"/>
          <w:i/>
          <w:iCs/>
          <w:noProof/>
          <w:szCs w:val="24"/>
        </w:rPr>
        <w:t>Journal of Molecular Structure: THEOCHEM</w:t>
      </w:r>
      <w:r w:rsidR="0020668B" w:rsidRPr="0020668B">
        <w:rPr>
          <w:rFonts w:cs="Arial"/>
          <w:noProof/>
          <w:szCs w:val="24"/>
        </w:rPr>
        <w:t xml:space="preserve">, 497(1–3), pp. 173–188. </w:t>
      </w:r>
      <w:r w:rsidR="0020668B" w:rsidRPr="00D63A77">
        <w:rPr>
          <w:rFonts w:cs="Arial"/>
          <w:noProof/>
          <w:szCs w:val="24"/>
          <w:lang w:val="fr-FR"/>
        </w:rPr>
        <w:t>Available at: https://doi.org/10.1016/S0166-1280(99)00283-3.</w:t>
      </w:r>
    </w:p>
    <w:p w14:paraId="3D697909" w14:textId="77777777" w:rsidR="0020668B" w:rsidRPr="0020668B" w:rsidRDefault="0020668B" w:rsidP="0020668B">
      <w:pPr>
        <w:widowControl w:val="0"/>
        <w:autoSpaceDE w:val="0"/>
        <w:autoSpaceDN w:val="0"/>
        <w:adjustRightInd w:val="0"/>
        <w:spacing w:line="240" w:lineRule="auto"/>
        <w:rPr>
          <w:rFonts w:cs="Arial"/>
          <w:noProof/>
          <w:szCs w:val="24"/>
        </w:rPr>
      </w:pPr>
      <w:r w:rsidRPr="00D63A77">
        <w:rPr>
          <w:rFonts w:cs="Arial"/>
          <w:noProof/>
          <w:szCs w:val="24"/>
          <w:lang w:val="fr-FR"/>
        </w:rPr>
        <w:t xml:space="preserve">Berteloot, T. </w:t>
      </w:r>
      <w:r w:rsidRPr="00D63A77">
        <w:rPr>
          <w:rFonts w:cs="Arial"/>
          <w:i/>
          <w:iCs/>
          <w:noProof/>
          <w:szCs w:val="24"/>
          <w:lang w:val="fr-FR"/>
        </w:rPr>
        <w:t>et al.</w:t>
      </w:r>
      <w:r w:rsidRPr="00D63A77">
        <w:rPr>
          <w:rFonts w:cs="Arial"/>
          <w:noProof/>
          <w:szCs w:val="24"/>
          <w:lang w:val="fr-FR"/>
        </w:rPr>
        <w:t xml:space="preserve"> </w:t>
      </w:r>
      <w:r w:rsidRPr="0020668B">
        <w:rPr>
          <w:rFonts w:cs="Arial"/>
          <w:noProof/>
          <w:szCs w:val="24"/>
        </w:rPr>
        <w:t xml:space="preserve">(no date) ‘LONG-TERM BEHAVIOUR OF C4-FN MIXTURES IN HIGH-VOLTAGE EQUIPMENT’, in </w:t>
      </w:r>
      <w:r w:rsidRPr="0020668B">
        <w:rPr>
          <w:rFonts w:cs="Arial"/>
          <w:i/>
          <w:iCs/>
          <w:noProof/>
          <w:szCs w:val="24"/>
        </w:rPr>
        <w:t>General Electric</w:t>
      </w:r>
      <w:r w:rsidRPr="0020668B">
        <w:rPr>
          <w:rFonts w:cs="Arial"/>
          <w:noProof/>
          <w:szCs w:val="24"/>
        </w:rPr>
        <w:t>.</w:t>
      </w:r>
    </w:p>
    <w:p w14:paraId="1255299C" w14:textId="77777777" w:rsidR="0020668B" w:rsidRPr="0020668B" w:rsidRDefault="0020668B" w:rsidP="0020668B">
      <w:pPr>
        <w:widowControl w:val="0"/>
        <w:autoSpaceDE w:val="0"/>
        <w:autoSpaceDN w:val="0"/>
        <w:adjustRightInd w:val="0"/>
        <w:spacing w:line="240" w:lineRule="auto"/>
        <w:rPr>
          <w:rFonts w:cs="Arial"/>
          <w:noProof/>
          <w:szCs w:val="24"/>
        </w:rPr>
      </w:pPr>
      <w:r w:rsidRPr="0020668B">
        <w:rPr>
          <w:rFonts w:cs="Arial"/>
          <w:noProof/>
          <w:szCs w:val="24"/>
        </w:rPr>
        <w:t xml:space="preserve">Cramer, C.J. (2004) </w:t>
      </w:r>
      <w:r w:rsidRPr="0020668B">
        <w:rPr>
          <w:rFonts w:cs="Arial"/>
          <w:i/>
          <w:iCs/>
          <w:noProof/>
          <w:szCs w:val="24"/>
        </w:rPr>
        <w:t>Essentials of Computational Chemistry</w:t>
      </w:r>
      <w:r w:rsidRPr="0020668B">
        <w:rPr>
          <w:rFonts w:cs="Arial"/>
          <w:noProof/>
          <w:szCs w:val="24"/>
        </w:rPr>
        <w:t>. Second Edi.</w:t>
      </w:r>
    </w:p>
    <w:p w14:paraId="682A0941" w14:textId="77777777" w:rsidR="0020668B" w:rsidRPr="0020668B" w:rsidRDefault="0020668B" w:rsidP="0020668B">
      <w:pPr>
        <w:widowControl w:val="0"/>
        <w:autoSpaceDE w:val="0"/>
        <w:autoSpaceDN w:val="0"/>
        <w:adjustRightInd w:val="0"/>
        <w:spacing w:line="240" w:lineRule="auto"/>
        <w:rPr>
          <w:rFonts w:cs="Arial"/>
          <w:noProof/>
          <w:szCs w:val="24"/>
        </w:rPr>
      </w:pPr>
      <w:r w:rsidRPr="0020668B">
        <w:rPr>
          <w:rFonts w:cs="Arial"/>
          <w:noProof/>
          <w:szCs w:val="24"/>
        </w:rPr>
        <w:t xml:space="preserve">Dervos, C.T. and Vassiliou, P. (2000) ‘Sulfur hexafluoride (sf6): Global environmental effects and toxic byproduct formation’, </w:t>
      </w:r>
      <w:r w:rsidRPr="0020668B">
        <w:rPr>
          <w:rFonts w:cs="Arial"/>
          <w:i/>
          <w:iCs/>
          <w:noProof/>
          <w:szCs w:val="24"/>
        </w:rPr>
        <w:t>Journal of the Air and Waste Management Association</w:t>
      </w:r>
      <w:r w:rsidRPr="0020668B">
        <w:rPr>
          <w:rFonts w:cs="Arial"/>
          <w:noProof/>
          <w:szCs w:val="24"/>
        </w:rPr>
        <w:t>, 50(1), pp. 137–141. Available at: https://doi.org/10.1080/10473289.2000.10463996.</w:t>
      </w:r>
    </w:p>
    <w:p w14:paraId="2FB1FCAC" w14:textId="77777777" w:rsidR="0020668B" w:rsidRPr="0020668B" w:rsidRDefault="0020668B" w:rsidP="0020668B">
      <w:pPr>
        <w:widowControl w:val="0"/>
        <w:autoSpaceDE w:val="0"/>
        <w:autoSpaceDN w:val="0"/>
        <w:adjustRightInd w:val="0"/>
        <w:spacing w:line="240" w:lineRule="auto"/>
        <w:rPr>
          <w:rFonts w:cs="Arial"/>
          <w:noProof/>
          <w:szCs w:val="24"/>
        </w:rPr>
      </w:pPr>
      <w:r w:rsidRPr="0020668B">
        <w:rPr>
          <w:rFonts w:cs="Arial"/>
          <w:noProof/>
          <w:szCs w:val="24"/>
        </w:rPr>
        <w:t xml:space="preserve">Donzel, L. </w:t>
      </w:r>
      <w:r w:rsidRPr="0020668B">
        <w:rPr>
          <w:rFonts w:cs="Arial"/>
          <w:i/>
          <w:iCs/>
          <w:noProof/>
          <w:szCs w:val="24"/>
        </w:rPr>
        <w:t>et al.</w:t>
      </w:r>
      <w:r w:rsidRPr="0020668B">
        <w:rPr>
          <w:rFonts w:cs="Arial"/>
          <w:noProof/>
          <w:szCs w:val="24"/>
        </w:rPr>
        <w:t xml:space="preserve"> (2024) ‘Chemistry of C4-FN gas mixtures and application in high-voltage equipment’, </w:t>
      </w:r>
      <w:r w:rsidRPr="0020668B">
        <w:rPr>
          <w:rFonts w:cs="Arial"/>
          <w:i/>
          <w:iCs/>
          <w:noProof/>
          <w:szCs w:val="24"/>
        </w:rPr>
        <w:t>Conseil international des grands réseaux électriques (CIGRE)</w:t>
      </w:r>
      <w:r w:rsidRPr="0020668B">
        <w:rPr>
          <w:rFonts w:cs="Arial"/>
          <w:noProof/>
          <w:szCs w:val="24"/>
        </w:rPr>
        <w:t xml:space="preserve"> [Preprint].</w:t>
      </w:r>
    </w:p>
    <w:p w14:paraId="5A372833" w14:textId="77777777" w:rsidR="0020668B" w:rsidRPr="00D63A77" w:rsidRDefault="0020668B" w:rsidP="0020668B">
      <w:pPr>
        <w:widowControl w:val="0"/>
        <w:autoSpaceDE w:val="0"/>
        <w:autoSpaceDN w:val="0"/>
        <w:adjustRightInd w:val="0"/>
        <w:spacing w:line="240" w:lineRule="auto"/>
        <w:rPr>
          <w:rFonts w:cs="Arial"/>
          <w:noProof/>
          <w:szCs w:val="24"/>
          <w:lang w:val="fr-FR"/>
        </w:rPr>
      </w:pPr>
      <w:r w:rsidRPr="0020668B">
        <w:rPr>
          <w:rFonts w:cs="Arial"/>
          <w:noProof/>
          <w:szCs w:val="24"/>
        </w:rPr>
        <w:t xml:space="preserve">Gao, W. </w:t>
      </w:r>
      <w:r w:rsidRPr="0020668B">
        <w:rPr>
          <w:rFonts w:cs="Arial"/>
          <w:i/>
          <w:iCs/>
          <w:noProof/>
          <w:szCs w:val="24"/>
        </w:rPr>
        <w:t>et al.</w:t>
      </w:r>
      <w:r w:rsidRPr="0020668B">
        <w:rPr>
          <w:rFonts w:cs="Arial"/>
          <w:noProof/>
          <w:szCs w:val="24"/>
        </w:rPr>
        <w:t xml:space="preserve"> (2022) ‘Materials Compatibility Study of C4F7N/CO2Gas Mixture for Medium-Voltage Switchgear’, </w:t>
      </w:r>
      <w:r w:rsidRPr="0020668B">
        <w:rPr>
          <w:rFonts w:cs="Arial"/>
          <w:i/>
          <w:iCs/>
          <w:noProof/>
          <w:szCs w:val="24"/>
        </w:rPr>
        <w:t>IEEE Transactions on Dielectrics and Electrical Insulation</w:t>
      </w:r>
      <w:r w:rsidRPr="0020668B">
        <w:rPr>
          <w:rFonts w:cs="Arial"/>
          <w:noProof/>
          <w:szCs w:val="24"/>
        </w:rPr>
        <w:t xml:space="preserve">, 29(1), pp. 270–278. </w:t>
      </w:r>
      <w:r w:rsidRPr="00D63A77">
        <w:rPr>
          <w:rFonts w:cs="Arial"/>
          <w:noProof/>
          <w:szCs w:val="24"/>
          <w:lang w:val="fr-FR"/>
        </w:rPr>
        <w:t>Available at: https://doi.org/10.1109/TDEI.2022.3146460.</w:t>
      </w:r>
    </w:p>
    <w:p w14:paraId="110E24F1" w14:textId="77777777" w:rsidR="0020668B" w:rsidRPr="00D63A77" w:rsidRDefault="0020668B" w:rsidP="0020668B">
      <w:pPr>
        <w:widowControl w:val="0"/>
        <w:autoSpaceDE w:val="0"/>
        <w:autoSpaceDN w:val="0"/>
        <w:adjustRightInd w:val="0"/>
        <w:spacing w:line="240" w:lineRule="auto"/>
        <w:rPr>
          <w:rFonts w:cs="Arial"/>
          <w:noProof/>
          <w:szCs w:val="24"/>
          <w:lang w:val="fr-FR"/>
        </w:rPr>
      </w:pPr>
      <w:r w:rsidRPr="00D63A77">
        <w:rPr>
          <w:rFonts w:cs="Arial"/>
          <w:noProof/>
          <w:szCs w:val="24"/>
          <w:lang w:val="fr-FR"/>
        </w:rPr>
        <w:t xml:space="preserve">Iddrissu, I. </w:t>
      </w:r>
      <w:r w:rsidRPr="00D63A77">
        <w:rPr>
          <w:rFonts w:cs="Arial"/>
          <w:i/>
          <w:iCs/>
          <w:noProof/>
          <w:szCs w:val="24"/>
          <w:lang w:val="fr-FR"/>
        </w:rPr>
        <w:t>et al.</w:t>
      </w:r>
      <w:r w:rsidRPr="00D63A77">
        <w:rPr>
          <w:rFonts w:cs="Arial"/>
          <w:noProof/>
          <w:szCs w:val="24"/>
          <w:lang w:val="fr-FR"/>
        </w:rPr>
        <w:t xml:space="preserve"> </w:t>
      </w:r>
      <w:r w:rsidRPr="0020668B">
        <w:rPr>
          <w:rFonts w:cs="Arial"/>
          <w:noProof/>
          <w:szCs w:val="24"/>
        </w:rPr>
        <w:t xml:space="preserve">(2021) ‘Gas decomposition and electrode degradation characteristics of a 20% C3F7CN and 80% CO2 gas mixture for high voltage accelerators’, </w:t>
      </w:r>
      <w:r w:rsidRPr="0020668B">
        <w:rPr>
          <w:rFonts w:cs="Arial"/>
          <w:i/>
          <w:iCs/>
          <w:noProof/>
          <w:szCs w:val="24"/>
        </w:rPr>
        <w:t>High Voltage</w:t>
      </w:r>
      <w:r w:rsidRPr="0020668B">
        <w:rPr>
          <w:rFonts w:cs="Arial"/>
          <w:noProof/>
          <w:szCs w:val="24"/>
        </w:rPr>
        <w:t xml:space="preserve">, (05), pp. 750–759. </w:t>
      </w:r>
      <w:r w:rsidRPr="00D63A77">
        <w:rPr>
          <w:rFonts w:cs="Arial"/>
          <w:noProof/>
          <w:szCs w:val="24"/>
          <w:lang w:val="fr-FR"/>
        </w:rPr>
        <w:t>Available at: https://doi.org/10.1049/hve2.12120.</w:t>
      </w:r>
    </w:p>
    <w:p w14:paraId="66ABE10E" w14:textId="77777777" w:rsidR="0020668B" w:rsidRPr="00D63A77" w:rsidRDefault="0020668B" w:rsidP="0020668B">
      <w:pPr>
        <w:widowControl w:val="0"/>
        <w:autoSpaceDE w:val="0"/>
        <w:autoSpaceDN w:val="0"/>
        <w:adjustRightInd w:val="0"/>
        <w:spacing w:line="240" w:lineRule="auto"/>
        <w:rPr>
          <w:rFonts w:cs="Arial"/>
          <w:noProof/>
          <w:szCs w:val="24"/>
          <w:lang w:val="fr-FR"/>
        </w:rPr>
      </w:pPr>
      <w:r w:rsidRPr="00D63A77">
        <w:rPr>
          <w:rFonts w:cs="Arial"/>
          <w:noProof/>
          <w:szCs w:val="24"/>
          <w:lang w:val="fr-FR"/>
        </w:rPr>
        <w:t xml:space="preserve">JUHRE, K. </w:t>
      </w:r>
      <w:r w:rsidRPr="00D63A77">
        <w:rPr>
          <w:rFonts w:cs="Arial"/>
          <w:i/>
          <w:iCs/>
          <w:noProof/>
          <w:szCs w:val="24"/>
          <w:lang w:val="fr-FR"/>
        </w:rPr>
        <w:t>et al.</w:t>
      </w:r>
      <w:r w:rsidRPr="00D63A77">
        <w:rPr>
          <w:rFonts w:cs="Arial"/>
          <w:noProof/>
          <w:szCs w:val="24"/>
          <w:lang w:val="fr-FR"/>
        </w:rPr>
        <w:t xml:space="preserve"> (2023) ‘Long-term performance and decomposition of Fluoronitrile-containing gas mixtures in gas-insulated systems’, </w:t>
      </w:r>
      <w:r w:rsidRPr="00D63A77">
        <w:rPr>
          <w:rFonts w:cs="Arial"/>
          <w:i/>
          <w:iCs/>
          <w:noProof/>
          <w:szCs w:val="24"/>
          <w:lang w:val="fr-FR"/>
        </w:rPr>
        <w:t>Conseil international des grands réseaux électriques (CIGRE)</w:t>
      </w:r>
      <w:r w:rsidRPr="00D63A77">
        <w:rPr>
          <w:rFonts w:cs="Arial"/>
          <w:noProof/>
          <w:szCs w:val="24"/>
          <w:lang w:val="fr-FR"/>
        </w:rPr>
        <w:t>, 124.</w:t>
      </w:r>
    </w:p>
    <w:p w14:paraId="6AE5B611" w14:textId="77777777" w:rsidR="0020668B" w:rsidRPr="00D63A77" w:rsidRDefault="0020668B" w:rsidP="0020668B">
      <w:pPr>
        <w:widowControl w:val="0"/>
        <w:autoSpaceDE w:val="0"/>
        <w:autoSpaceDN w:val="0"/>
        <w:adjustRightInd w:val="0"/>
        <w:spacing w:line="240" w:lineRule="auto"/>
        <w:rPr>
          <w:rFonts w:cs="Arial"/>
          <w:noProof/>
          <w:szCs w:val="24"/>
          <w:lang w:val="fr-FR"/>
        </w:rPr>
      </w:pPr>
      <w:r w:rsidRPr="0020668B">
        <w:rPr>
          <w:rFonts w:cs="Arial"/>
          <w:noProof/>
          <w:szCs w:val="24"/>
        </w:rPr>
        <w:t xml:space="preserve">Kessler, F. </w:t>
      </w:r>
      <w:r w:rsidRPr="0020668B">
        <w:rPr>
          <w:rFonts w:cs="Arial"/>
          <w:i/>
          <w:iCs/>
          <w:noProof/>
          <w:szCs w:val="24"/>
        </w:rPr>
        <w:t>et al.</w:t>
      </w:r>
      <w:r w:rsidRPr="0020668B">
        <w:rPr>
          <w:rFonts w:cs="Arial"/>
          <w:noProof/>
          <w:szCs w:val="24"/>
        </w:rPr>
        <w:t xml:space="preserve"> (2020) ‘Compatibility of a Gaseous Dielectric with Al, Ag, and Cu and Gas-Phase Synthesis of a New N-Acylamidine Copper Complex’, </w:t>
      </w:r>
      <w:r w:rsidRPr="0020668B">
        <w:rPr>
          <w:rFonts w:cs="Arial"/>
          <w:i/>
          <w:iCs/>
          <w:noProof/>
          <w:szCs w:val="24"/>
        </w:rPr>
        <w:t>European Journal of Inorganic Chemistry</w:t>
      </w:r>
      <w:r w:rsidRPr="0020668B">
        <w:rPr>
          <w:rFonts w:cs="Arial"/>
          <w:noProof/>
          <w:szCs w:val="24"/>
        </w:rPr>
        <w:t xml:space="preserve">, 2020(20), pp. 1989–1994. </w:t>
      </w:r>
      <w:r w:rsidRPr="00D63A77">
        <w:rPr>
          <w:rFonts w:cs="Arial"/>
          <w:noProof/>
          <w:szCs w:val="24"/>
          <w:lang w:val="fr-FR"/>
        </w:rPr>
        <w:t>Available at: https://doi.org/10.1002/ejic.202000213.</w:t>
      </w:r>
    </w:p>
    <w:p w14:paraId="09869E2B" w14:textId="77777777" w:rsidR="0020668B" w:rsidRPr="0020668B" w:rsidRDefault="0020668B" w:rsidP="0020668B">
      <w:pPr>
        <w:widowControl w:val="0"/>
        <w:autoSpaceDE w:val="0"/>
        <w:autoSpaceDN w:val="0"/>
        <w:adjustRightInd w:val="0"/>
        <w:spacing w:line="240" w:lineRule="auto"/>
        <w:rPr>
          <w:rFonts w:cs="Arial"/>
          <w:noProof/>
          <w:szCs w:val="24"/>
        </w:rPr>
      </w:pPr>
      <w:r w:rsidRPr="00D63A77">
        <w:rPr>
          <w:rFonts w:cs="Arial"/>
          <w:noProof/>
          <w:szCs w:val="24"/>
          <w:lang w:val="fr-FR"/>
        </w:rPr>
        <w:t xml:space="preserve">Kieffel, Y. </w:t>
      </w:r>
      <w:r w:rsidRPr="00D63A77">
        <w:rPr>
          <w:rFonts w:cs="Arial"/>
          <w:i/>
          <w:iCs/>
          <w:noProof/>
          <w:szCs w:val="24"/>
          <w:lang w:val="fr-FR"/>
        </w:rPr>
        <w:t>et al.</w:t>
      </w:r>
      <w:r w:rsidRPr="00D63A77">
        <w:rPr>
          <w:rFonts w:cs="Arial"/>
          <w:noProof/>
          <w:szCs w:val="24"/>
          <w:lang w:val="fr-FR"/>
        </w:rPr>
        <w:t xml:space="preserve"> </w:t>
      </w:r>
      <w:r w:rsidRPr="0020668B">
        <w:rPr>
          <w:rFonts w:cs="Arial"/>
          <w:noProof/>
          <w:szCs w:val="24"/>
        </w:rPr>
        <w:t xml:space="preserve">(2017) ‘Characteristics of g3 - An alternative to SF6’, in </w:t>
      </w:r>
      <w:r w:rsidRPr="0020668B">
        <w:rPr>
          <w:rFonts w:cs="Arial"/>
          <w:i/>
          <w:iCs/>
          <w:noProof/>
          <w:szCs w:val="24"/>
        </w:rPr>
        <w:t>CIRED - Open Access Proceedings Journal</w:t>
      </w:r>
      <w:r w:rsidRPr="0020668B">
        <w:rPr>
          <w:rFonts w:cs="Arial"/>
          <w:noProof/>
          <w:szCs w:val="24"/>
        </w:rPr>
        <w:t>. Institution of Engineering and Technology, pp. 54–57. Available at: https://doi.org/10.1049/oap-cired.2017.0795.</w:t>
      </w:r>
    </w:p>
    <w:p w14:paraId="0C6E91FE" w14:textId="77777777" w:rsidR="0020668B" w:rsidRPr="0020668B" w:rsidRDefault="0020668B" w:rsidP="0020668B">
      <w:pPr>
        <w:widowControl w:val="0"/>
        <w:autoSpaceDE w:val="0"/>
        <w:autoSpaceDN w:val="0"/>
        <w:adjustRightInd w:val="0"/>
        <w:spacing w:line="240" w:lineRule="auto"/>
        <w:rPr>
          <w:rFonts w:cs="Arial"/>
          <w:noProof/>
          <w:szCs w:val="24"/>
        </w:rPr>
      </w:pPr>
      <w:r w:rsidRPr="0020668B">
        <w:rPr>
          <w:rFonts w:cs="Arial"/>
          <w:noProof/>
          <w:szCs w:val="24"/>
        </w:rPr>
        <w:t xml:space="preserve">Krishnan, R. </w:t>
      </w:r>
      <w:r w:rsidRPr="0020668B">
        <w:rPr>
          <w:rFonts w:cs="Arial"/>
          <w:i/>
          <w:iCs/>
          <w:noProof/>
          <w:szCs w:val="24"/>
        </w:rPr>
        <w:t>et al.</w:t>
      </w:r>
      <w:r w:rsidRPr="0020668B">
        <w:rPr>
          <w:rFonts w:cs="Arial"/>
          <w:noProof/>
          <w:szCs w:val="24"/>
        </w:rPr>
        <w:t xml:space="preserve"> (1980) ‘Selfconsistent molecular orbital methods. XX. A basis set for correlated wave functions’, </w:t>
      </w:r>
      <w:r w:rsidRPr="0020668B">
        <w:rPr>
          <w:rFonts w:cs="Arial"/>
          <w:i/>
          <w:iCs/>
          <w:noProof/>
          <w:szCs w:val="24"/>
        </w:rPr>
        <w:t>Citation: J. Chem. Phys</w:t>
      </w:r>
      <w:r w:rsidRPr="0020668B">
        <w:rPr>
          <w:rFonts w:cs="Arial"/>
          <w:noProof/>
          <w:szCs w:val="24"/>
        </w:rPr>
        <w:t>, 72, p. 650. Available at: https://doi.org/10.1063/1.438955.</w:t>
      </w:r>
    </w:p>
    <w:p w14:paraId="08E383DC" w14:textId="77777777" w:rsidR="0020668B" w:rsidRPr="0020668B" w:rsidRDefault="0020668B" w:rsidP="0020668B">
      <w:pPr>
        <w:widowControl w:val="0"/>
        <w:autoSpaceDE w:val="0"/>
        <w:autoSpaceDN w:val="0"/>
        <w:adjustRightInd w:val="0"/>
        <w:spacing w:line="240" w:lineRule="auto"/>
        <w:rPr>
          <w:rFonts w:cs="Arial"/>
          <w:noProof/>
          <w:szCs w:val="24"/>
        </w:rPr>
      </w:pPr>
      <w:r w:rsidRPr="0020668B">
        <w:rPr>
          <w:rFonts w:cs="Arial"/>
          <w:noProof/>
          <w:szCs w:val="24"/>
        </w:rPr>
        <w:t xml:space="preserve">Li, Y. </w:t>
      </w:r>
      <w:r w:rsidRPr="0020668B">
        <w:rPr>
          <w:rFonts w:cs="Arial"/>
          <w:i/>
          <w:iCs/>
          <w:noProof/>
          <w:szCs w:val="24"/>
        </w:rPr>
        <w:t>et al.</w:t>
      </w:r>
      <w:r w:rsidRPr="0020668B">
        <w:rPr>
          <w:rFonts w:cs="Arial"/>
          <w:noProof/>
          <w:szCs w:val="24"/>
        </w:rPr>
        <w:t xml:space="preserve"> (2020) </w:t>
      </w:r>
      <w:r w:rsidRPr="0020668B">
        <w:rPr>
          <w:rFonts w:cs="Arial"/>
          <w:i/>
          <w:iCs/>
          <w:noProof/>
          <w:szCs w:val="24"/>
        </w:rPr>
        <w:t>Influence regularity of O2 on dielectric and decomposition properties of C4F7N–CO2–O2 gas mixture for medium-voltage equipment</w:t>
      </w:r>
      <w:r w:rsidRPr="0020668B">
        <w:rPr>
          <w:rFonts w:cs="Arial"/>
          <w:noProof/>
          <w:szCs w:val="24"/>
        </w:rPr>
        <w:t xml:space="preserve">, </w:t>
      </w:r>
      <w:r w:rsidRPr="0020668B">
        <w:rPr>
          <w:rFonts w:cs="Arial"/>
          <w:i/>
          <w:iCs/>
          <w:noProof/>
          <w:szCs w:val="24"/>
        </w:rPr>
        <w:t>High Voltage</w:t>
      </w:r>
      <w:r w:rsidRPr="0020668B">
        <w:rPr>
          <w:rFonts w:cs="Arial"/>
          <w:noProof/>
          <w:szCs w:val="24"/>
        </w:rPr>
        <w:t>. Institution of Engineering and Technology. Available at: https://doi.org/10.1049/hve.2019.0219.</w:t>
      </w:r>
    </w:p>
    <w:p w14:paraId="1B464672" w14:textId="77777777" w:rsidR="0020668B" w:rsidRPr="00D63A77" w:rsidRDefault="0020668B" w:rsidP="0020668B">
      <w:pPr>
        <w:widowControl w:val="0"/>
        <w:autoSpaceDE w:val="0"/>
        <w:autoSpaceDN w:val="0"/>
        <w:adjustRightInd w:val="0"/>
        <w:spacing w:line="240" w:lineRule="auto"/>
        <w:rPr>
          <w:rFonts w:cs="Arial"/>
          <w:noProof/>
          <w:szCs w:val="24"/>
          <w:lang w:val="fr-FR"/>
        </w:rPr>
      </w:pPr>
      <w:r w:rsidRPr="0020668B">
        <w:rPr>
          <w:rFonts w:cs="Arial"/>
          <w:noProof/>
          <w:szCs w:val="24"/>
        </w:rPr>
        <w:t xml:space="preserve">Ochterski, J.W. and Ph, D. (2000) ‘Thermochemistry in Gaussian’, </w:t>
      </w:r>
      <w:r w:rsidRPr="0020668B">
        <w:rPr>
          <w:rFonts w:cs="Arial"/>
          <w:i/>
          <w:iCs/>
          <w:noProof/>
          <w:szCs w:val="24"/>
        </w:rPr>
        <w:t>Gaussian Inc Pittsburgh PA</w:t>
      </w:r>
      <w:r w:rsidRPr="0020668B">
        <w:rPr>
          <w:rFonts w:cs="Arial"/>
          <w:noProof/>
          <w:szCs w:val="24"/>
        </w:rPr>
        <w:t xml:space="preserve">, 264(1), pp. 1–19. </w:t>
      </w:r>
      <w:r w:rsidRPr="00D63A77">
        <w:rPr>
          <w:rFonts w:cs="Arial"/>
          <w:noProof/>
          <w:szCs w:val="24"/>
          <w:lang w:val="fr-FR"/>
        </w:rPr>
        <w:t>Available at: https://doi.org/10.1016/j.ijms.2007.04.005.</w:t>
      </w:r>
    </w:p>
    <w:p w14:paraId="72094DBD" w14:textId="77777777" w:rsidR="0020668B" w:rsidRPr="0020668B" w:rsidRDefault="0020668B" w:rsidP="0020668B">
      <w:pPr>
        <w:widowControl w:val="0"/>
        <w:autoSpaceDE w:val="0"/>
        <w:autoSpaceDN w:val="0"/>
        <w:adjustRightInd w:val="0"/>
        <w:spacing w:line="240" w:lineRule="auto"/>
        <w:rPr>
          <w:rFonts w:cs="Arial"/>
          <w:noProof/>
          <w:szCs w:val="24"/>
        </w:rPr>
      </w:pPr>
      <w:r w:rsidRPr="00D63A77">
        <w:rPr>
          <w:rFonts w:cs="Arial"/>
          <w:noProof/>
          <w:szCs w:val="24"/>
          <w:lang w:val="fr-FR"/>
        </w:rPr>
        <w:t xml:space="preserve">Wang, X.Y. </w:t>
      </w:r>
      <w:r w:rsidRPr="00D63A77">
        <w:rPr>
          <w:rFonts w:cs="Arial"/>
          <w:i/>
          <w:iCs/>
          <w:noProof/>
          <w:szCs w:val="24"/>
          <w:lang w:val="fr-FR"/>
        </w:rPr>
        <w:t>et al.</w:t>
      </w:r>
      <w:r w:rsidRPr="00D63A77">
        <w:rPr>
          <w:rFonts w:cs="Arial"/>
          <w:noProof/>
          <w:szCs w:val="24"/>
          <w:lang w:val="fr-FR"/>
        </w:rPr>
        <w:t xml:space="preserve"> </w:t>
      </w:r>
      <w:r w:rsidRPr="0020668B">
        <w:rPr>
          <w:rFonts w:cs="Arial"/>
          <w:noProof/>
          <w:szCs w:val="24"/>
        </w:rPr>
        <w:t xml:space="preserve">(2018) ‘Do two oxidants (ferric-peroxo and ferryl-oxo species) act in the biosynthesis of estrogens? A DFT calculation’, </w:t>
      </w:r>
      <w:r w:rsidRPr="0020668B">
        <w:rPr>
          <w:rFonts w:cs="Arial"/>
          <w:i/>
          <w:iCs/>
          <w:noProof/>
          <w:szCs w:val="24"/>
        </w:rPr>
        <w:t>RSC Advances</w:t>
      </w:r>
      <w:r w:rsidRPr="0020668B">
        <w:rPr>
          <w:rFonts w:cs="Arial"/>
          <w:noProof/>
          <w:szCs w:val="24"/>
        </w:rPr>
        <w:t>, 8(27), pp. 15196–15201. Available at: https://doi.org/10.1039/c8ra01252k.</w:t>
      </w:r>
    </w:p>
    <w:p w14:paraId="69F8530E" w14:textId="77777777" w:rsidR="0020668B" w:rsidRPr="0020668B" w:rsidRDefault="0020668B" w:rsidP="0020668B">
      <w:pPr>
        <w:widowControl w:val="0"/>
        <w:autoSpaceDE w:val="0"/>
        <w:autoSpaceDN w:val="0"/>
        <w:adjustRightInd w:val="0"/>
        <w:spacing w:line="240" w:lineRule="auto"/>
        <w:rPr>
          <w:rFonts w:cs="Arial"/>
          <w:noProof/>
          <w:szCs w:val="24"/>
        </w:rPr>
      </w:pPr>
      <w:r w:rsidRPr="0020668B">
        <w:rPr>
          <w:rFonts w:cs="Arial"/>
          <w:noProof/>
          <w:szCs w:val="24"/>
        </w:rPr>
        <w:t xml:space="preserve">www.gaussian.com (no date) </w:t>
      </w:r>
      <w:r w:rsidRPr="0020668B">
        <w:rPr>
          <w:rFonts w:cs="Arial"/>
          <w:i/>
          <w:iCs/>
          <w:noProof/>
          <w:szCs w:val="24"/>
        </w:rPr>
        <w:t>No Title</w:t>
      </w:r>
      <w:r w:rsidRPr="0020668B">
        <w:rPr>
          <w:rFonts w:cs="Arial"/>
          <w:noProof/>
          <w:szCs w:val="24"/>
        </w:rPr>
        <w:t>.</w:t>
      </w:r>
    </w:p>
    <w:p w14:paraId="7697229D" w14:textId="77777777" w:rsidR="0020668B" w:rsidRPr="0020668B" w:rsidRDefault="0020668B" w:rsidP="0020668B">
      <w:pPr>
        <w:widowControl w:val="0"/>
        <w:autoSpaceDE w:val="0"/>
        <w:autoSpaceDN w:val="0"/>
        <w:adjustRightInd w:val="0"/>
        <w:spacing w:line="240" w:lineRule="auto"/>
        <w:rPr>
          <w:rFonts w:cs="Arial"/>
          <w:noProof/>
          <w:szCs w:val="24"/>
        </w:rPr>
      </w:pPr>
      <w:r w:rsidRPr="0020668B">
        <w:rPr>
          <w:rFonts w:cs="Arial"/>
          <w:noProof/>
          <w:szCs w:val="24"/>
        </w:rPr>
        <w:t xml:space="preserve">Xiao, S. </w:t>
      </w:r>
      <w:r w:rsidRPr="0020668B">
        <w:rPr>
          <w:rFonts w:cs="Arial"/>
          <w:i/>
          <w:iCs/>
          <w:noProof/>
          <w:szCs w:val="24"/>
        </w:rPr>
        <w:t>et al.</w:t>
      </w:r>
      <w:r w:rsidRPr="0020668B">
        <w:rPr>
          <w:rFonts w:cs="Arial"/>
          <w:noProof/>
          <w:szCs w:val="24"/>
        </w:rPr>
        <w:t xml:space="preserve"> (2017) ‘Effects of micro-water on decomposition of the environment-friendly insulating medium C5F10O’, </w:t>
      </w:r>
      <w:r w:rsidRPr="0020668B">
        <w:rPr>
          <w:rFonts w:cs="Arial"/>
          <w:i/>
          <w:iCs/>
          <w:noProof/>
          <w:szCs w:val="24"/>
        </w:rPr>
        <w:t>AIP Advances</w:t>
      </w:r>
      <w:r w:rsidRPr="0020668B">
        <w:rPr>
          <w:rFonts w:cs="Arial"/>
          <w:noProof/>
          <w:szCs w:val="24"/>
        </w:rPr>
        <w:t>, 7(6). Available at: https://doi.org/10.1063/1.4990512.</w:t>
      </w:r>
    </w:p>
    <w:p w14:paraId="1F17DBC5" w14:textId="77777777" w:rsidR="0020668B" w:rsidRPr="0020668B" w:rsidRDefault="0020668B" w:rsidP="0020668B">
      <w:pPr>
        <w:widowControl w:val="0"/>
        <w:autoSpaceDE w:val="0"/>
        <w:autoSpaceDN w:val="0"/>
        <w:adjustRightInd w:val="0"/>
        <w:spacing w:line="240" w:lineRule="auto"/>
        <w:rPr>
          <w:rFonts w:cs="Arial"/>
          <w:noProof/>
          <w:szCs w:val="24"/>
        </w:rPr>
      </w:pPr>
      <w:r w:rsidRPr="0020668B">
        <w:rPr>
          <w:rFonts w:cs="Arial"/>
          <w:noProof/>
          <w:szCs w:val="24"/>
        </w:rPr>
        <w:t xml:space="preserve">Ye, F. </w:t>
      </w:r>
      <w:r w:rsidRPr="0020668B">
        <w:rPr>
          <w:rFonts w:cs="Arial"/>
          <w:i/>
          <w:iCs/>
          <w:noProof/>
          <w:szCs w:val="24"/>
        </w:rPr>
        <w:t>et al.</w:t>
      </w:r>
      <w:r w:rsidRPr="0020668B">
        <w:rPr>
          <w:rFonts w:cs="Arial"/>
          <w:noProof/>
          <w:szCs w:val="24"/>
        </w:rPr>
        <w:t xml:space="preserve"> (2022) ‘Arc decomposition behaviour of C4F7N/Air gas mixture and biosafety evaluation of its by-products’, </w:t>
      </w:r>
      <w:r w:rsidRPr="0020668B">
        <w:rPr>
          <w:rFonts w:cs="Arial"/>
          <w:i/>
          <w:iCs/>
          <w:noProof/>
          <w:szCs w:val="24"/>
        </w:rPr>
        <w:t>High Voltage</w:t>
      </w:r>
      <w:r w:rsidRPr="0020668B">
        <w:rPr>
          <w:rFonts w:cs="Arial"/>
          <w:noProof/>
          <w:szCs w:val="24"/>
        </w:rPr>
        <w:t xml:space="preserve"> [Preprint]. Available at: https://doi.org/10.1049/hve2.12233.</w:t>
      </w:r>
    </w:p>
    <w:p w14:paraId="7156DC6C" w14:textId="77777777" w:rsidR="0020668B" w:rsidRPr="00D63A77" w:rsidRDefault="0020668B" w:rsidP="0020668B">
      <w:pPr>
        <w:widowControl w:val="0"/>
        <w:autoSpaceDE w:val="0"/>
        <w:autoSpaceDN w:val="0"/>
        <w:adjustRightInd w:val="0"/>
        <w:spacing w:line="240" w:lineRule="auto"/>
        <w:rPr>
          <w:rFonts w:cs="Arial"/>
          <w:noProof/>
          <w:szCs w:val="24"/>
          <w:lang w:val="fr-FR"/>
        </w:rPr>
      </w:pPr>
      <w:r w:rsidRPr="0020668B">
        <w:rPr>
          <w:rFonts w:cs="Arial"/>
          <w:noProof/>
          <w:szCs w:val="24"/>
        </w:rPr>
        <w:t xml:space="preserve">Yu, X. and Wang, B. (2021) ‘Mechanistic Insight into the Decomposition of Eco-Friendly Dielectric Gas Heptafluoro-iso-butyronitrile in the Presence of Water Impurity’, </w:t>
      </w:r>
      <w:r w:rsidRPr="0020668B">
        <w:rPr>
          <w:rFonts w:cs="Arial"/>
          <w:i/>
          <w:iCs/>
          <w:noProof/>
          <w:szCs w:val="24"/>
        </w:rPr>
        <w:t>IEEE Transactions on Dielectrics and Electrical Insulation</w:t>
      </w:r>
      <w:r w:rsidRPr="0020668B">
        <w:rPr>
          <w:rFonts w:cs="Arial"/>
          <w:noProof/>
          <w:szCs w:val="24"/>
        </w:rPr>
        <w:t xml:space="preserve">, 28(4), pp. 1273–1281. </w:t>
      </w:r>
      <w:r w:rsidRPr="00D63A77">
        <w:rPr>
          <w:rFonts w:cs="Arial"/>
          <w:noProof/>
          <w:szCs w:val="24"/>
          <w:lang w:val="fr-FR"/>
        </w:rPr>
        <w:t>Available at: https://doi.org/10.1109/TDEI.2021.009608.</w:t>
      </w:r>
    </w:p>
    <w:p w14:paraId="2C52FC7E" w14:textId="77777777" w:rsidR="0020668B" w:rsidRPr="0020668B" w:rsidRDefault="0020668B" w:rsidP="0020668B">
      <w:pPr>
        <w:widowControl w:val="0"/>
        <w:autoSpaceDE w:val="0"/>
        <w:autoSpaceDN w:val="0"/>
        <w:adjustRightInd w:val="0"/>
        <w:spacing w:line="240" w:lineRule="auto"/>
        <w:rPr>
          <w:rFonts w:cs="Arial"/>
          <w:noProof/>
          <w:szCs w:val="24"/>
        </w:rPr>
      </w:pPr>
      <w:r w:rsidRPr="00D63A77">
        <w:rPr>
          <w:rFonts w:cs="Arial"/>
          <w:noProof/>
          <w:szCs w:val="24"/>
          <w:lang w:val="fr-FR"/>
        </w:rPr>
        <w:t xml:space="preserve">Zhang, B. </w:t>
      </w:r>
      <w:r w:rsidRPr="00D63A77">
        <w:rPr>
          <w:rFonts w:cs="Arial"/>
          <w:i/>
          <w:iCs/>
          <w:noProof/>
          <w:szCs w:val="24"/>
          <w:lang w:val="fr-FR"/>
        </w:rPr>
        <w:t>et al.</w:t>
      </w:r>
      <w:r w:rsidRPr="00D63A77">
        <w:rPr>
          <w:rFonts w:cs="Arial"/>
          <w:noProof/>
          <w:szCs w:val="24"/>
          <w:lang w:val="fr-FR"/>
        </w:rPr>
        <w:t xml:space="preserve"> </w:t>
      </w:r>
      <w:r w:rsidRPr="0020668B">
        <w:rPr>
          <w:rFonts w:cs="Arial"/>
          <w:noProof/>
          <w:szCs w:val="24"/>
        </w:rPr>
        <w:t xml:space="preserve">(2019) ‘Decomposition characteristics of C4F7N/CO2 mixture under AC discharge breakdown’, </w:t>
      </w:r>
      <w:r w:rsidRPr="0020668B">
        <w:rPr>
          <w:rFonts w:cs="Arial"/>
          <w:i/>
          <w:iCs/>
          <w:noProof/>
          <w:szCs w:val="24"/>
        </w:rPr>
        <w:t>AIP Advances 9</w:t>
      </w:r>
      <w:r w:rsidRPr="0020668B">
        <w:rPr>
          <w:rFonts w:cs="Arial"/>
          <w:noProof/>
          <w:szCs w:val="24"/>
        </w:rPr>
        <w:t xml:space="preserve"> [Preprint]. Available at: https://doi.org/10.1063/1.5115588.</w:t>
      </w:r>
    </w:p>
    <w:p w14:paraId="06AD3EED" w14:textId="77777777" w:rsidR="0020668B" w:rsidRPr="0020668B" w:rsidRDefault="0020668B" w:rsidP="0020668B">
      <w:pPr>
        <w:widowControl w:val="0"/>
        <w:autoSpaceDE w:val="0"/>
        <w:autoSpaceDN w:val="0"/>
        <w:adjustRightInd w:val="0"/>
        <w:spacing w:line="240" w:lineRule="auto"/>
        <w:rPr>
          <w:rFonts w:cs="Arial"/>
          <w:noProof/>
          <w:szCs w:val="24"/>
        </w:rPr>
      </w:pPr>
      <w:r w:rsidRPr="0020668B">
        <w:rPr>
          <w:rFonts w:cs="Arial"/>
          <w:noProof/>
          <w:szCs w:val="24"/>
        </w:rPr>
        <w:t xml:space="preserve">Zhao, Y. and Truhlar, D.G. (2008) ‘The M06 suite of density functionals for main group thermochemistry, </w:t>
      </w:r>
      <w:r w:rsidRPr="0020668B">
        <w:rPr>
          <w:rFonts w:cs="Arial"/>
          <w:noProof/>
          <w:szCs w:val="24"/>
        </w:rPr>
        <w:lastRenderedPageBreak/>
        <w:t xml:space="preserve">thermochemical kinetics, noncovalent interactions, excited states, and transition elements: two new functionals and systematic testing of four M06-class functionals and 12 other function’, </w:t>
      </w:r>
      <w:r w:rsidRPr="0020668B">
        <w:rPr>
          <w:rFonts w:cs="Arial"/>
          <w:i/>
          <w:iCs/>
          <w:noProof/>
          <w:szCs w:val="24"/>
        </w:rPr>
        <w:t>Theoretical Chemistry Accounts</w:t>
      </w:r>
      <w:r w:rsidRPr="0020668B">
        <w:rPr>
          <w:rFonts w:cs="Arial"/>
          <w:noProof/>
          <w:szCs w:val="24"/>
        </w:rPr>
        <w:t>, 120, pp. 215–241. Available at: https://doi.org/10.1007/s00214-007-0310-x.</w:t>
      </w:r>
    </w:p>
    <w:p w14:paraId="3F53B2B6" w14:textId="77777777" w:rsidR="0020668B" w:rsidRPr="0020668B" w:rsidRDefault="0020668B" w:rsidP="0020668B">
      <w:pPr>
        <w:widowControl w:val="0"/>
        <w:autoSpaceDE w:val="0"/>
        <w:autoSpaceDN w:val="0"/>
        <w:adjustRightInd w:val="0"/>
        <w:spacing w:line="240" w:lineRule="auto"/>
        <w:rPr>
          <w:rFonts w:cs="Arial"/>
          <w:noProof/>
        </w:rPr>
      </w:pPr>
      <w:r w:rsidRPr="0020668B">
        <w:rPr>
          <w:rFonts w:cs="Arial"/>
          <w:noProof/>
          <w:szCs w:val="24"/>
        </w:rPr>
        <w:t xml:space="preserve">Zhen Guo, Cunyuan Zhao, David Lee Phillips, Evan G. Robertson,  and D.M. (2008) ‘An Experimental and Theoretical Study of NSCl Decomposition in the Presence of Trace Amounts of Water’, </w:t>
      </w:r>
      <w:r w:rsidRPr="0020668B">
        <w:rPr>
          <w:rFonts w:cs="Arial"/>
          <w:i/>
          <w:iCs/>
          <w:noProof/>
          <w:szCs w:val="24"/>
        </w:rPr>
        <w:t>The journal of physical chemistry. A</w:t>
      </w:r>
      <w:r w:rsidRPr="0020668B">
        <w:rPr>
          <w:rFonts w:cs="Arial"/>
          <w:noProof/>
          <w:szCs w:val="24"/>
        </w:rPr>
        <w:t>, 112, pp. 8561–8568.</w:t>
      </w:r>
    </w:p>
    <w:p w14:paraId="6FAA4342" w14:textId="20F210B7" w:rsidR="00C52C3C" w:rsidRDefault="00CB58C4" w:rsidP="00E65B91">
      <w:pPr>
        <w:pStyle w:val="CETReferencetext"/>
      </w:pPr>
      <w:r>
        <w:fldChar w:fldCharType="end"/>
      </w:r>
    </w:p>
    <w:p w14:paraId="5A13856B" w14:textId="74631F52" w:rsidR="006B4888" w:rsidRPr="000D56D6" w:rsidRDefault="006B4888" w:rsidP="006B4888">
      <w:pPr>
        <w:pStyle w:val="CETReferencetext"/>
      </w:pPr>
    </w:p>
    <w:p w14:paraId="19C4FC68" w14:textId="77777777" w:rsidR="004628D2" w:rsidRDefault="004628D2" w:rsidP="00FA5F5F">
      <w:pPr>
        <w:pStyle w:val="CETHeading1"/>
        <w:numPr>
          <w:ilvl w:val="0"/>
          <w:numId w:val="0"/>
        </w:numPr>
      </w:pPr>
    </w:p>
    <w:sectPr w:rsidR="004628D2" w:rsidSect="00DC73EE">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092B9" w14:textId="77777777" w:rsidR="00281BE7" w:rsidRDefault="00281BE7" w:rsidP="004F5E36">
      <w:r>
        <w:separator/>
      </w:r>
    </w:p>
  </w:endnote>
  <w:endnote w:type="continuationSeparator" w:id="0">
    <w:p w14:paraId="4BE42658" w14:textId="77777777" w:rsidR="00281BE7" w:rsidRDefault="00281BE7"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D15D8" w14:textId="77777777" w:rsidR="00281BE7" w:rsidRDefault="00281BE7" w:rsidP="004F5E36">
      <w:r>
        <w:separator/>
      </w:r>
    </w:p>
  </w:footnote>
  <w:footnote w:type="continuationSeparator" w:id="0">
    <w:p w14:paraId="7CE552E4" w14:textId="77777777" w:rsidR="00281BE7" w:rsidRDefault="00281BE7"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58AF15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2266B64"/>
    <w:multiLevelType w:val="hybridMultilevel"/>
    <w:tmpl w:val="059214A0"/>
    <w:lvl w:ilvl="0" w:tplc="04100003">
      <w:start w:val="1"/>
      <w:numFmt w:val="bullet"/>
      <w:lvlText w:val="o"/>
      <w:lvlJc w:val="left"/>
      <w:pPr>
        <w:tabs>
          <w:tab w:val="num" w:pos="1080"/>
        </w:tabs>
        <w:ind w:left="1080" w:hanging="360"/>
      </w:pPr>
      <w:rPr>
        <w:rFonts w:ascii="Courier New" w:hAnsi="Courier New" w:cs="Courier New" w:hint="default"/>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2693" w:firstLine="0"/>
      </w:pPr>
      <w:rPr>
        <w:rFonts w:hint="default"/>
      </w:rPr>
    </w:lvl>
    <w:lvl w:ilvl="3">
      <w:start w:val="1"/>
      <w:numFmt w:val="decimal"/>
      <w:pStyle w:val="TableSimpl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2"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9"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16882765">
    <w:abstractNumId w:val="11"/>
  </w:num>
  <w:num w:numId="2" w16cid:durableId="1954094313">
    <w:abstractNumId w:val="8"/>
  </w:num>
  <w:num w:numId="3" w16cid:durableId="2001083081">
    <w:abstractNumId w:val="3"/>
  </w:num>
  <w:num w:numId="4" w16cid:durableId="665287687">
    <w:abstractNumId w:val="2"/>
  </w:num>
  <w:num w:numId="5" w16cid:durableId="1763211618">
    <w:abstractNumId w:val="1"/>
  </w:num>
  <w:num w:numId="6" w16cid:durableId="733351894">
    <w:abstractNumId w:val="0"/>
  </w:num>
  <w:num w:numId="7" w16cid:durableId="1265187038">
    <w:abstractNumId w:val="9"/>
  </w:num>
  <w:num w:numId="8" w16cid:durableId="458382672">
    <w:abstractNumId w:val="7"/>
  </w:num>
  <w:num w:numId="9" w16cid:durableId="652636510">
    <w:abstractNumId w:val="6"/>
  </w:num>
  <w:num w:numId="10" w16cid:durableId="1972591888">
    <w:abstractNumId w:val="5"/>
  </w:num>
  <w:num w:numId="11" w16cid:durableId="1179278139">
    <w:abstractNumId w:val="4"/>
  </w:num>
  <w:num w:numId="12" w16cid:durableId="1575509198">
    <w:abstractNumId w:val="18"/>
  </w:num>
  <w:num w:numId="13" w16cid:durableId="695733619">
    <w:abstractNumId w:val="13"/>
  </w:num>
  <w:num w:numId="14" w16cid:durableId="145903400">
    <w:abstractNumId w:val="19"/>
  </w:num>
  <w:num w:numId="15" w16cid:durableId="19162326">
    <w:abstractNumId w:val="21"/>
  </w:num>
  <w:num w:numId="16" w16cid:durableId="1977102699">
    <w:abstractNumId w:val="20"/>
  </w:num>
  <w:num w:numId="17" w16cid:durableId="860774865">
    <w:abstractNumId w:val="12"/>
  </w:num>
  <w:num w:numId="18" w16cid:durableId="313221457">
    <w:abstractNumId w:val="13"/>
    <w:lvlOverride w:ilvl="0">
      <w:startOverride w:val="1"/>
    </w:lvlOverride>
  </w:num>
  <w:num w:numId="19" w16cid:durableId="534971577">
    <w:abstractNumId w:val="17"/>
  </w:num>
  <w:num w:numId="20" w16cid:durableId="1150947773">
    <w:abstractNumId w:val="16"/>
  </w:num>
  <w:num w:numId="21" w16cid:durableId="124660497">
    <w:abstractNumId w:val="15"/>
  </w:num>
  <w:num w:numId="22" w16cid:durableId="2099861471">
    <w:abstractNumId w:val="14"/>
  </w:num>
  <w:num w:numId="23" w16cid:durableId="84351335">
    <w:abstractNumId w:val="10"/>
  </w:num>
  <w:num w:numId="24" w16cid:durableId="20016153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52FB"/>
    <w:rsid w:val="00005A19"/>
    <w:rsid w:val="000117CB"/>
    <w:rsid w:val="000156B3"/>
    <w:rsid w:val="000212D9"/>
    <w:rsid w:val="0003148D"/>
    <w:rsid w:val="00031EEC"/>
    <w:rsid w:val="00051566"/>
    <w:rsid w:val="000562A9"/>
    <w:rsid w:val="00060B05"/>
    <w:rsid w:val="00062A9A"/>
    <w:rsid w:val="00065058"/>
    <w:rsid w:val="00072BA5"/>
    <w:rsid w:val="00086C39"/>
    <w:rsid w:val="000A03B2"/>
    <w:rsid w:val="000A4345"/>
    <w:rsid w:val="000D0268"/>
    <w:rsid w:val="000D34BE"/>
    <w:rsid w:val="000D3678"/>
    <w:rsid w:val="000D39E5"/>
    <w:rsid w:val="000E0B3C"/>
    <w:rsid w:val="000E102F"/>
    <w:rsid w:val="000E36F1"/>
    <w:rsid w:val="000E3A73"/>
    <w:rsid w:val="000E414A"/>
    <w:rsid w:val="000E75FD"/>
    <w:rsid w:val="000F093C"/>
    <w:rsid w:val="000F1CC4"/>
    <w:rsid w:val="000F787B"/>
    <w:rsid w:val="0012091F"/>
    <w:rsid w:val="00126BC2"/>
    <w:rsid w:val="001308B6"/>
    <w:rsid w:val="0013121F"/>
    <w:rsid w:val="00131FE6"/>
    <w:rsid w:val="0013263F"/>
    <w:rsid w:val="001331DF"/>
    <w:rsid w:val="00134DE4"/>
    <w:rsid w:val="0014034D"/>
    <w:rsid w:val="00140FE3"/>
    <w:rsid w:val="00144D16"/>
    <w:rsid w:val="00150E59"/>
    <w:rsid w:val="00152DE3"/>
    <w:rsid w:val="00164CF9"/>
    <w:rsid w:val="0016668E"/>
    <w:rsid w:val="001667A6"/>
    <w:rsid w:val="00180598"/>
    <w:rsid w:val="0018171E"/>
    <w:rsid w:val="00184AD6"/>
    <w:rsid w:val="001969AD"/>
    <w:rsid w:val="001A4AF7"/>
    <w:rsid w:val="001B0349"/>
    <w:rsid w:val="001B1E93"/>
    <w:rsid w:val="001B65C1"/>
    <w:rsid w:val="001C260F"/>
    <w:rsid w:val="001C5C3A"/>
    <w:rsid w:val="001C684B"/>
    <w:rsid w:val="001D0CFB"/>
    <w:rsid w:val="001D21AF"/>
    <w:rsid w:val="001D3D32"/>
    <w:rsid w:val="001D53FC"/>
    <w:rsid w:val="001F42A5"/>
    <w:rsid w:val="001F7B9D"/>
    <w:rsid w:val="00201C93"/>
    <w:rsid w:val="0020668B"/>
    <w:rsid w:val="00220931"/>
    <w:rsid w:val="002224B4"/>
    <w:rsid w:val="00224FAE"/>
    <w:rsid w:val="0024273B"/>
    <w:rsid w:val="002447EF"/>
    <w:rsid w:val="00251550"/>
    <w:rsid w:val="0025270D"/>
    <w:rsid w:val="0025780A"/>
    <w:rsid w:val="00263B05"/>
    <w:rsid w:val="0027221A"/>
    <w:rsid w:val="00275B61"/>
    <w:rsid w:val="00280FAF"/>
    <w:rsid w:val="00281BE7"/>
    <w:rsid w:val="00282656"/>
    <w:rsid w:val="00290A04"/>
    <w:rsid w:val="00296B83"/>
    <w:rsid w:val="002B4015"/>
    <w:rsid w:val="002B78CE"/>
    <w:rsid w:val="002C2FB6"/>
    <w:rsid w:val="002E5FA7"/>
    <w:rsid w:val="002F3309"/>
    <w:rsid w:val="002F7DB3"/>
    <w:rsid w:val="003008CE"/>
    <w:rsid w:val="003009B7"/>
    <w:rsid w:val="00300E56"/>
    <w:rsid w:val="0030152C"/>
    <w:rsid w:val="0030469C"/>
    <w:rsid w:val="00304CE8"/>
    <w:rsid w:val="00321CA6"/>
    <w:rsid w:val="00323763"/>
    <w:rsid w:val="00323C5F"/>
    <w:rsid w:val="003279F5"/>
    <w:rsid w:val="00334C09"/>
    <w:rsid w:val="003723D4"/>
    <w:rsid w:val="00372D32"/>
    <w:rsid w:val="00381905"/>
    <w:rsid w:val="00384CC8"/>
    <w:rsid w:val="003871FD"/>
    <w:rsid w:val="003A1E30"/>
    <w:rsid w:val="003A2829"/>
    <w:rsid w:val="003A63E8"/>
    <w:rsid w:val="003A7D1C"/>
    <w:rsid w:val="003B304B"/>
    <w:rsid w:val="003B3146"/>
    <w:rsid w:val="003B49CD"/>
    <w:rsid w:val="003C237F"/>
    <w:rsid w:val="003D1E02"/>
    <w:rsid w:val="003F015E"/>
    <w:rsid w:val="00400414"/>
    <w:rsid w:val="0041446B"/>
    <w:rsid w:val="00416DCA"/>
    <w:rsid w:val="0044071E"/>
    <w:rsid w:val="0044329C"/>
    <w:rsid w:val="00453E24"/>
    <w:rsid w:val="00457456"/>
    <w:rsid w:val="004577FE"/>
    <w:rsid w:val="00457B9C"/>
    <w:rsid w:val="00457EDC"/>
    <w:rsid w:val="0046164A"/>
    <w:rsid w:val="00461D9E"/>
    <w:rsid w:val="004628D2"/>
    <w:rsid w:val="00462DCD"/>
    <w:rsid w:val="004648AD"/>
    <w:rsid w:val="004703A9"/>
    <w:rsid w:val="00471108"/>
    <w:rsid w:val="004760D6"/>
    <w:rsid w:val="004760DE"/>
    <w:rsid w:val="004763D7"/>
    <w:rsid w:val="0048334A"/>
    <w:rsid w:val="0049282F"/>
    <w:rsid w:val="004A004E"/>
    <w:rsid w:val="004A24CF"/>
    <w:rsid w:val="004C3D1D"/>
    <w:rsid w:val="004C3D84"/>
    <w:rsid w:val="004C591F"/>
    <w:rsid w:val="004C7913"/>
    <w:rsid w:val="004E4DD6"/>
    <w:rsid w:val="004F5E36"/>
    <w:rsid w:val="00507B47"/>
    <w:rsid w:val="00507BEF"/>
    <w:rsid w:val="00507CC9"/>
    <w:rsid w:val="005119A5"/>
    <w:rsid w:val="005278B7"/>
    <w:rsid w:val="00532016"/>
    <w:rsid w:val="005346C8"/>
    <w:rsid w:val="005379A0"/>
    <w:rsid w:val="00543E7D"/>
    <w:rsid w:val="00547A68"/>
    <w:rsid w:val="005531C9"/>
    <w:rsid w:val="00554879"/>
    <w:rsid w:val="00570C43"/>
    <w:rsid w:val="00575B76"/>
    <w:rsid w:val="00592274"/>
    <w:rsid w:val="005A61F3"/>
    <w:rsid w:val="005B2110"/>
    <w:rsid w:val="005B3057"/>
    <w:rsid w:val="005B350B"/>
    <w:rsid w:val="005B61E6"/>
    <w:rsid w:val="005C77E1"/>
    <w:rsid w:val="005D65DC"/>
    <w:rsid w:val="005D668A"/>
    <w:rsid w:val="005D6A2F"/>
    <w:rsid w:val="005E0592"/>
    <w:rsid w:val="005E1A82"/>
    <w:rsid w:val="005E793A"/>
    <w:rsid w:val="005E794C"/>
    <w:rsid w:val="005F0A28"/>
    <w:rsid w:val="005F0E5E"/>
    <w:rsid w:val="005F5546"/>
    <w:rsid w:val="00600535"/>
    <w:rsid w:val="00610CD6"/>
    <w:rsid w:val="00610F32"/>
    <w:rsid w:val="00620DEE"/>
    <w:rsid w:val="00621F92"/>
    <w:rsid w:val="0062280A"/>
    <w:rsid w:val="006231E1"/>
    <w:rsid w:val="00625639"/>
    <w:rsid w:val="00625E79"/>
    <w:rsid w:val="00626342"/>
    <w:rsid w:val="00631B33"/>
    <w:rsid w:val="00633E7F"/>
    <w:rsid w:val="0064184D"/>
    <w:rsid w:val="006422CC"/>
    <w:rsid w:val="00651D18"/>
    <w:rsid w:val="0065318D"/>
    <w:rsid w:val="00660E3E"/>
    <w:rsid w:val="00661EC8"/>
    <w:rsid w:val="00662E74"/>
    <w:rsid w:val="00663816"/>
    <w:rsid w:val="00663B56"/>
    <w:rsid w:val="00680C23"/>
    <w:rsid w:val="00683E23"/>
    <w:rsid w:val="00686618"/>
    <w:rsid w:val="0069132F"/>
    <w:rsid w:val="00693766"/>
    <w:rsid w:val="00696EB9"/>
    <w:rsid w:val="006A164C"/>
    <w:rsid w:val="006A3281"/>
    <w:rsid w:val="006A6DE5"/>
    <w:rsid w:val="006B4888"/>
    <w:rsid w:val="006C2E45"/>
    <w:rsid w:val="006C318F"/>
    <w:rsid w:val="006C359C"/>
    <w:rsid w:val="006C5579"/>
    <w:rsid w:val="006D4580"/>
    <w:rsid w:val="006D6E8B"/>
    <w:rsid w:val="006D7209"/>
    <w:rsid w:val="006E0106"/>
    <w:rsid w:val="006E737D"/>
    <w:rsid w:val="00704C19"/>
    <w:rsid w:val="00707DD1"/>
    <w:rsid w:val="00713973"/>
    <w:rsid w:val="00715B25"/>
    <w:rsid w:val="00720A24"/>
    <w:rsid w:val="00725638"/>
    <w:rsid w:val="00727DC4"/>
    <w:rsid w:val="00732386"/>
    <w:rsid w:val="00733FF1"/>
    <w:rsid w:val="0073514D"/>
    <w:rsid w:val="007447F3"/>
    <w:rsid w:val="00751C8E"/>
    <w:rsid w:val="0075499F"/>
    <w:rsid w:val="00765738"/>
    <w:rsid w:val="007661C8"/>
    <w:rsid w:val="0077098D"/>
    <w:rsid w:val="00785BF9"/>
    <w:rsid w:val="00785E6C"/>
    <w:rsid w:val="007918FE"/>
    <w:rsid w:val="007931FA"/>
    <w:rsid w:val="007A4861"/>
    <w:rsid w:val="007A7BBA"/>
    <w:rsid w:val="007B0C50"/>
    <w:rsid w:val="007B48F9"/>
    <w:rsid w:val="007B680D"/>
    <w:rsid w:val="007B7B63"/>
    <w:rsid w:val="007C1A43"/>
    <w:rsid w:val="007C6043"/>
    <w:rsid w:val="007D0951"/>
    <w:rsid w:val="007D2726"/>
    <w:rsid w:val="007D610D"/>
    <w:rsid w:val="0080013E"/>
    <w:rsid w:val="00801759"/>
    <w:rsid w:val="00813288"/>
    <w:rsid w:val="008168FC"/>
    <w:rsid w:val="00830996"/>
    <w:rsid w:val="008345F1"/>
    <w:rsid w:val="008347CD"/>
    <w:rsid w:val="00837118"/>
    <w:rsid w:val="00865B07"/>
    <w:rsid w:val="008667EA"/>
    <w:rsid w:val="0087637F"/>
    <w:rsid w:val="00892AD5"/>
    <w:rsid w:val="00894B5F"/>
    <w:rsid w:val="008A1512"/>
    <w:rsid w:val="008A473F"/>
    <w:rsid w:val="008D32B9"/>
    <w:rsid w:val="008D433B"/>
    <w:rsid w:val="008D4A16"/>
    <w:rsid w:val="008E5401"/>
    <w:rsid w:val="008E566E"/>
    <w:rsid w:val="008F39C7"/>
    <w:rsid w:val="0090161A"/>
    <w:rsid w:val="00901EB6"/>
    <w:rsid w:val="009041F8"/>
    <w:rsid w:val="00904C62"/>
    <w:rsid w:val="00922BA8"/>
    <w:rsid w:val="00924DAC"/>
    <w:rsid w:val="00927058"/>
    <w:rsid w:val="009337C4"/>
    <w:rsid w:val="00942750"/>
    <w:rsid w:val="009450CE"/>
    <w:rsid w:val="009459BB"/>
    <w:rsid w:val="00947179"/>
    <w:rsid w:val="00950B90"/>
    <w:rsid w:val="0095164B"/>
    <w:rsid w:val="00954090"/>
    <w:rsid w:val="009573E7"/>
    <w:rsid w:val="00963E05"/>
    <w:rsid w:val="00964A45"/>
    <w:rsid w:val="00967843"/>
    <w:rsid w:val="00967D54"/>
    <w:rsid w:val="00971028"/>
    <w:rsid w:val="009725FE"/>
    <w:rsid w:val="00993B84"/>
    <w:rsid w:val="00994C6A"/>
    <w:rsid w:val="00996483"/>
    <w:rsid w:val="00996F5A"/>
    <w:rsid w:val="009A0BF1"/>
    <w:rsid w:val="009B041A"/>
    <w:rsid w:val="009B566B"/>
    <w:rsid w:val="009B6E57"/>
    <w:rsid w:val="009C37C3"/>
    <w:rsid w:val="009C7C86"/>
    <w:rsid w:val="009D2FF7"/>
    <w:rsid w:val="009E5869"/>
    <w:rsid w:val="009E7884"/>
    <w:rsid w:val="009E788A"/>
    <w:rsid w:val="009F0E08"/>
    <w:rsid w:val="00A079AE"/>
    <w:rsid w:val="00A1763D"/>
    <w:rsid w:val="00A17CEC"/>
    <w:rsid w:val="00A27EF0"/>
    <w:rsid w:val="00A42361"/>
    <w:rsid w:val="00A50B20"/>
    <w:rsid w:val="00A51390"/>
    <w:rsid w:val="00A51465"/>
    <w:rsid w:val="00A527E6"/>
    <w:rsid w:val="00A57CCA"/>
    <w:rsid w:val="00A60D13"/>
    <w:rsid w:val="00A6591C"/>
    <w:rsid w:val="00A65EDA"/>
    <w:rsid w:val="00A676B6"/>
    <w:rsid w:val="00A7223D"/>
    <w:rsid w:val="00A72745"/>
    <w:rsid w:val="00A755F0"/>
    <w:rsid w:val="00A76EFC"/>
    <w:rsid w:val="00A87D50"/>
    <w:rsid w:val="00A91010"/>
    <w:rsid w:val="00A97F29"/>
    <w:rsid w:val="00AA702E"/>
    <w:rsid w:val="00AA7D26"/>
    <w:rsid w:val="00AB0964"/>
    <w:rsid w:val="00AB5011"/>
    <w:rsid w:val="00AC7368"/>
    <w:rsid w:val="00AD16B9"/>
    <w:rsid w:val="00AE377D"/>
    <w:rsid w:val="00AF0EBA"/>
    <w:rsid w:val="00AF16F8"/>
    <w:rsid w:val="00AF2463"/>
    <w:rsid w:val="00AF58AC"/>
    <w:rsid w:val="00B02C8A"/>
    <w:rsid w:val="00B061B8"/>
    <w:rsid w:val="00B13197"/>
    <w:rsid w:val="00B17FBD"/>
    <w:rsid w:val="00B315A6"/>
    <w:rsid w:val="00B31813"/>
    <w:rsid w:val="00B33365"/>
    <w:rsid w:val="00B4357C"/>
    <w:rsid w:val="00B57B36"/>
    <w:rsid w:val="00B57E6F"/>
    <w:rsid w:val="00B8686D"/>
    <w:rsid w:val="00B93F69"/>
    <w:rsid w:val="00BB1DDC"/>
    <w:rsid w:val="00BC30C9"/>
    <w:rsid w:val="00BC4E5B"/>
    <w:rsid w:val="00BD077D"/>
    <w:rsid w:val="00BE3E58"/>
    <w:rsid w:val="00BF031C"/>
    <w:rsid w:val="00BF13CE"/>
    <w:rsid w:val="00BF56FE"/>
    <w:rsid w:val="00C01616"/>
    <w:rsid w:val="00C0162B"/>
    <w:rsid w:val="00C068ED"/>
    <w:rsid w:val="00C22E0C"/>
    <w:rsid w:val="00C345B1"/>
    <w:rsid w:val="00C40142"/>
    <w:rsid w:val="00C52C3C"/>
    <w:rsid w:val="00C57182"/>
    <w:rsid w:val="00C57863"/>
    <w:rsid w:val="00C61429"/>
    <w:rsid w:val="00C640AF"/>
    <w:rsid w:val="00C655FD"/>
    <w:rsid w:val="00C75407"/>
    <w:rsid w:val="00C841C6"/>
    <w:rsid w:val="00C870A8"/>
    <w:rsid w:val="00C94434"/>
    <w:rsid w:val="00CA0D75"/>
    <w:rsid w:val="00CA1C95"/>
    <w:rsid w:val="00CA5A9C"/>
    <w:rsid w:val="00CB58C4"/>
    <w:rsid w:val="00CC4C20"/>
    <w:rsid w:val="00CD3517"/>
    <w:rsid w:val="00CD5FE2"/>
    <w:rsid w:val="00CE7C68"/>
    <w:rsid w:val="00CF031F"/>
    <w:rsid w:val="00D02B4C"/>
    <w:rsid w:val="00D040C4"/>
    <w:rsid w:val="00D20AD1"/>
    <w:rsid w:val="00D2582C"/>
    <w:rsid w:val="00D2649C"/>
    <w:rsid w:val="00D46B7E"/>
    <w:rsid w:val="00D4754C"/>
    <w:rsid w:val="00D57C84"/>
    <w:rsid w:val="00D6057D"/>
    <w:rsid w:val="00D63A77"/>
    <w:rsid w:val="00D71640"/>
    <w:rsid w:val="00D71917"/>
    <w:rsid w:val="00D836C5"/>
    <w:rsid w:val="00D84576"/>
    <w:rsid w:val="00DA1399"/>
    <w:rsid w:val="00DA24C6"/>
    <w:rsid w:val="00DA4D7B"/>
    <w:rsid w:val="00DB0AD8"/>
    <w:rsid w:val="00DC2840"/>
    <w:rsid w:val="00DC73EE"/>
    <w:rsid w:val="00DD0688"/>
    <w:rsid w:val="00DD271C"/>
    <w:rsid w:val="00DE264A"/>
    <w:rsid w:val="00DF2D58"/>
    <w:rsid w:val="00DF5072"/>
    <w:rsid w:val="00E02D18"/>
    <w:rsid w:val="00E041E7"/>
    <w:rsid w:val="00E23CA1"/>
    <w:rsid w:val="00E402BB"/>
    <w:rsid w:val="00E409A8"/>
    <w:rsid w:val="00E50C12"/>
    <w:rsid w:val="00E64085"/>
    <w:rsid w:val="00E65B91"/>
    <w:rsid w:val="00E7209D"/>
    <w:rsid w:val="00E72EAD"/>
    <w:rsid w:val="00E77223"/>
    <w:rsid w:val="00E8528B"/>
    <w:rsid w:val="00E85B94"/>
    <w:rsid w:val="00E90A2E"/>
    <w:rsid w:val="00E978D0"/>
    <w:rsid w:val="00EA4613"/>
    <w:rsid w:val="00EA7F91"/>
    <w:rsid w:val="00EB1523"/>
    <w:rsid w:val="00EC0E49"/>
    <w:rsid w:val="00EC101F"/>
    <w:rsid w:val="00EC1D9F"/>
    <w:rsid w:val="00ED4759"/>
    <w:rsid w:val="00EE0131"/>
    <w:rsid w:val="00EE17B0"/>
    <w:rsid w:val="00EF06D9"/>
    <w:rsid w:val="00EF3B24"/>
    <w:rsid w:val="00F11AA0"/>
    <w:rsid w:val="00F2063D"/>
    <w:rsid w:val="00F279FA"/>
    <w:rsid w:val="00F3049E"/>
    <w:rsid w:val="00F30C64"/>
    <w:rsid w:val="00F32BA2"/>
    <w:rsid w:val="00F32CDB"/>
    <w:rsid w:val="00F41EE4"/>
    <w:rsid w:val="00F56280"/>
    <w:rsid w:val="00F565FE"/>
    <w:rsid w:val="00F63A70"/>
    <w:rsid w:val="00F63D8C"/>
    <w:rsid w:val="00F7534E"/>
    <w:rsid w:val="00F83044"/>
    <w:rsid w:val="00F93EDF"/>
    <w:rsid w:val="00FA1802"/>
    <w:rsid w:val="00FA21D0"/>
    <w:rsid w:val="00FA2C16"/>
    <w:rsid w:val="00FA5F5F"/>
    <w:rsid w:val="00FB730C"/>
    <w:rsid w:val="00FC2695"/>
    <w:rsid w:val="00FC3E03"/>
    <w:rsid w:val="00FC3FC1"/>
    <w:rsid w:val="00FE4E81"/>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Heading1">
    <w:name w:val="heading 1"/>
    <w:basedOn w:val="CETHeading1"/>
    <w:next w:val="Normal"/>
    <w:link w:val="Heading1Char"/>
    <w:uiPriority w:val="9"/>
    <w:rsid w:val="004F5E36"/>
    <w:pPr>
      <w:tabs>
        <w:tab w:val="clear" w:pos="360"/>
        <w:tab w:val="right" w:pos="7100"/>
      </w:tabs>
      <w:jc w:val="both"/>
      <w:outlineLvl w:val="0"/>
    </w:pPr>
    <w:rPr>
      <w:lang w:val="en-GB"/>
    </w:rPr>
  </w:style>
  <w:style w:type="paragraph" w:styleId="Heading2">
    <w:name w:val="heading 2"/>
    <w:basedOn w:val="Normal"/>
    <w:next w:val="Normal"/>
    <w:link w:val="Heading2Ch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ind w:left="0"/>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leSimple1">
    <w:name w:val="Table Simple 1"/>
    <w:basedOn w:val="Table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CommentReference">
    <w:name w:val="annotation reference"/>
    <w:basedOn w:val="DefaultParagraphFont"/>
    <w:uiPriority w:val="99"/>
    <w:semiHidden/>
    <w:unhideWhenUsed/>
    <w:rsid w:val="004577FE"/>
    <w:rPr>
      <w:sz w:val="16"/>
      <w:szCs w:val="16"/>
    </w:rPr>
  </w:style>
  <w:style w:type="paragraph" w:styleId="BalloonText">
    <w:name w:val="Balloon Text"/>
    <w:basedOn w:val="Normal"/>
    <w:link w:val="BalloonTextChar"/>
    <w:uiPriority w:val="99"/>
    <w:semiHidden/>
    <w:unhideWhenUsed/>
    <w:rsid w:val="000D34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4BE"/>
    <w:rPr>
      <w:rFonts w:ascii="Tahoma" w:hAnsi="Tahoma" w:cs="Tahoma"/>
      <w:sz w:val="16"/>
      <w:szCs w:val="16"/>
    </w:rPr>
  </w:style>
  <w:style w:type="paragraph" w:styleId="Bibliography">
    <w:name w:val="Bibliography"/>
    <w:basedOn w:val="CETReferencetext"/>
    <w:uiPriority w:val="37"/>
    <w:unhideWhenUsed/>
    <w:rsid w:val="00631B33"/>
    <w:pPr>
      <w:spacing w:line="240" w:lineRule="auto"/>
      <w:ind w:left="720" w:hanging="720"/>
    </w:pPr>
  </w:style>
  <w:style w:type="paragraph" w:styleId="BodyText2">
    <w:name w:val="Body Text 2"/>
    <w:basedOn w:val="Normal"/>
    <w:link w:val="BodyText2Char"/>
    <w:uiPriority w:val="99"/>
    <w:semiHidden/>
    <w:unhideWhenUsed/>
    <w:rsid w:val="0003148D"/>
    <w:pPr>
      <w:spacing w:after="120" w:line="480" w:lineRule="auto"/>
    </w:pPr>
  </w:style>
  <w:style w:type="character" w:customStyle="1" w:styleId="BodyText2Char">
    <w:name w:val="Body Text 2 Char"/>
    <w:basedOn w:val="DefaultParagraphFont"/>
    <w:link w:val="BodyText2"/>
    <w:uiPriority w:val="99"/>
    <w:semiHidden/>
    <w:rsid w:val="0003148D"/>
  </w:style>
  <w:style w:type="paragraph" w:styleId="BodyText3">
    <w:name w:val="Body Text 3"/>
    <w:basedOn w:val="Normal"/>
    <w:link w:val="BodyText3Char"/>
    <w:uiPriority w:val="99"/>
    <w:semiHidden/>
    <w:unhideWhenUsed/>
    <w:rsid w:val="0003148D"/>
    <w:pPr>
      <w:spacing w:after="120"/>
    </w:pPr>
    <w:rPr>
      <w:sz w:val="16"/>
      <w:szCs w:val="16"/>
    </w:rPr>
  </w:style>
  <w:style w:type="character" w:customStyle="1" w:styleId="BodyText3Char">
    <w:name w:val="Body Text 3 Char"/>
    <w:basedOn w:val="DefaultParagraphFont"/>
    <w:link w:val="BodyText3"/>
    <w:uiPriority w:val="99"/>
    <w:semiHidden/>
    <w:rsid w:val="0003148D"/>
    <w:rPr>
      <w:sz w:val="16"/>
      <w:szCs w:val="16"/>
    </w:rPr>
  </w:style>
  <w:style w:type="paragraph" w:styleId="BodyText">
    <w:name w:val="Body Text"/>
    <w:basedOn w:val="Normal"/>
    <w:link w:val="BodyTextChar"/>
    <w:uiPriority w:val="99"/>
    <w:semiHidden/>
    <w:unhideWhenUsed/>
    <w:rsid w:val="0003148D"/>
    <w:pPr>
      <w:spacing w:after="120"/>
    </w:pPr>
  </w:style>
  <w:style w:type="character" w:customStyle="1" w:styleId="BodyTextChar">
    <w:name w:val="Body Text Char"/>
    <w:basedOn w:val="DefaultParagraphFont"/>
    <w:link w:val="BodyText"/>
    <w:uiPriority w:val="99"/>
    <w:semiHidden/>
    <w:rsid w:val="0003148D"/>
  </w:style>
  <w:style w:type="paragraph" w:styleId="Date">
    <w:name w:val="Date"/>
    <w:basedOn w:val="Normal"/>
    <w:next w:val="Normal"/>
    <w:link w:val="DateChar"/>
    <w:uiPriority w:val="99"/>
    <w:semiHidden/>
    <w:unhideWhenUsed/>
    <w:rsid w:val="0003148D"/>
  </w:style>
  <w:style w:type="character" w:customStyle="1" w:styleId="DateChar">
    <w:name w:val="Date Char"/>
    <w:basedOn w:val="DefaultParagraphFont"/>
    <w:link w:val="Date"/>
    <w:uiPriority w:val="99"/>
    <w:semiHidden/>
    <w:rsid w:val="0003148D"/>
  </w:style>
  <w:style w:type="paragraph" w:styleId="Caption">
    <w:name w:val="caption"/>
    <w:basedOn w:val="Normal"/>
    <w:next w:val="Normal"/>
    <w:uiPriority w:val="35"/>
    <w:semiHidden/>
    <w:unhideWhenUsed/>
    <w:qFormat/>
    <w:rsid w:val="0003148D"/>
    <w:pPr>
      <w:spacing w:line="240" w:lineRule="auto"/>
    </w:pPr>
    <w:rPr>
      <w:b/>
      <w:bCs/>
      <w:color w:val="4F81BD" w:themeColor="accent1"/>
      <w:szCs w:val="18"/>
    </w:rPr>
  </w:style>
  <w:style w:type="paragraph" w:styleId="List">
    <w:name w:val="List"/>
    <w:basedOn w:val="Normal"/>
    <w:uiPriority w:val="99"/>
    <w:semiHidden/>
    <w:unhideWhenUsed/>
    <w:rsid w:val="0003148D"/>
    <w:pPr>
      <w:ind w:left="283" w:hanging="283"/>
      <w:contextualSpacing/>
    </w:pPr>
  </w:style>
  <w:style w:type="paragraph" w:styleId="List2">
    <w:name w:val="List 2"/>
    <w:basedOn w:val="Normal"/>
    <w:uiPriority w:val="99"/>
    <w:semiHidden/>
    <w:unhideWhenUsed/>
    <w:rsid w:val="0003148D"/>
    <w:pPr>
      <w:ind w:left="566" w:hanging="283"/>
      <w:contextualSpacing/>
    </w:pPr>
  </w:style>
  <w:style w:type="paragraph" w:styleId="List3">
    <w:name w:val="List 3"/>
    <w:basedOn w:val="Normal"/>
    <w:uiPriority w:val="99"/>
    <w:semiHidden/>
    <w:unhideWhenUsed/>
    <w:rsid w:val="0003148D"/>
    <w:pPr>
      <w:ind w:left="849" w:hanging="283"/>
      <w:contextualSpacing/>
    </w:pPr>
  </w:style>
  <w:style w:type="paragraph" w:styleId="List4">
    <w:name w:val="List 4"/>
    <w:basedOn w:val="Normal"/>
    <w:uiPriority w:val="99"/>
    <w:semiHidden/>
    <w:unhideWhenUsed/>
    <w:rsid w:val="0003148D"/>
    <w:pPr>
      <w:ind w:left="1132" w:hanging="283"/>
      <w:contextualSpacing/>
    </w:pPr>
  </w:style>
  <w:style w:type="paragraph" w:styleId="List5">
    <w:name w:val="List 5"/>
    <w:basedOn w:val="Normal"/>
    <w:uiPriority w:val="99"/>
    <w:semiHidden/>
    <w:unhideWhenUsed/>
    <w:rsid w:val="0003148D"/>
    <w:pPr>
      <w:ind w:left="1415" w:hanging="283"/>
      <w:contextualSpacing/>
    </w:pPr>
  </w:style>
  <w:style w:type="paragraph" w:styleId="ListContinue">
    <w:name w:val="List Continue"/>
    <w:basedOn w:val="Normal"/>
    <w:uiPriority w:val="99"/>
    <w:semiHidden/>
    <w:unhideWhenUsed/>
    <w:rsid w:val="0003148D"/>
    <w:pPr>
      <w:spacing w:after="120"/>
      <w:ind w:left="283"/>
      <w:contextualSpacing/>
    </w:pPr>
  </w:style>
  <w:style w:type="paragraph" w:styleId="ListContinue2">
    <w:name w:val="List Continue 2"/>
    <w:basedOn w:val="Normal"/>
    <w:uiPriority w:val="99"/>
    <w:semiHidden/>
    <w:unhideWhenUsed/>
    <w:rsid w:val="0003148D"/>
    <w:pPr>
      <w:spacing w:after="120"/>
      <w:ind w:left="566"/>
      <w:contextualSpacing/>
    </w:pPr>
  </w:style>
  <w:style w:type="paragraph" w:styleId="ListContinue3">
    <w:name w:val="List Continue 3"/>
    <w:basedOn w:val="Normal"/>
    <w:uiPriority w:val="99"/>
    <w:semiHidden/>
    <w:unhideWhenUsed/>
    <w:rsid w:val="0003148D"/>
    <w:pPr>
      <w:spacing w:after="120"/>
      <w:ind w:left="849"/>
      <w:contextualSpacing/>
    </w:pPr>
  </w:style>
  <w:style w:type="paragraph" w:styleId="ListContinue4">
    <w:name w:val="List Continue 4"/>
    <w:basedOn w:val="Normal"/>
    <w:uiPriority w:val="99"/>
    <w:semiHidden/>
    <w:unhideWhenUsed/>
    <w:rsid w:val="0003148D"/>
    <w:pPr>
      <w:spacing w:after="120"/>
      <w:ind w:left="1132"/>
      <w:contextualSpacing/>
    </w:pPr>
  </w:style>
  <w:style w:type="paragraph" w:styleId="ListContinue5">
    <w:name w:val="List Continue 5"/>
    <w:basedOn w:val="Normal"/>
    <w:uiPriority w:val="99"/>
    <w:semiHidden/>
    <w:unhideWhenUsed/>
    <w:rsid w:val="0003148D"/>
    <w:pPr>
      <w:spacing w:after="120"/>
      <w:ind w:left="1415"/>
      <w:contextualSpacing/>
    </w:pPr>
  </w:style>
  <w:style w:type="paragraph" w:styleId="Signature">
    <w:name w:val="Signature"/>
    <w:basedOn w:val="Normal"/>
    <w:link w:val="SignatureChar"/>
    <w:uiPriority w:val="99"/>
    <w:semiHidden/>
    <w:unhideWhenUsed/>
    <w:rsid w:val="0003148D"/>
    <w:pPr>
      <w:spacing w:line="240" w:lineRule="auto"/>
      <w:ind w:left="4252"/>
    </w:pPr>
  </w:style>
  <w:style w:type="character" w:customStyle="1" w:styleId="SignatureChar">
    <w:name w:val="Signature Char"/>
    <w:basedOn w:val="DefaultParagraphFont"/>
    <w:link w:val="Signature"/>
    <w:uiPriority w:val="99"/>
    <w:semiHidden/>
    <w:rsid w:val="0003148D"/>
  </w:style>
  <w:style w:type="paragraph" w:styleId="E-mailSignature">
    <w:name w:val="E-mail Signature"/>
    <w:basedOn w:val="Normal"/>
    <w:link w:val="E-mailSignatureChar"/>
    <w:uiPriority w:val="99"/>
    <w:semiHidden/>
    <w:unhideWhenUsed/>
    <w:rsid w:val="0003148D"/>
    <w:pPr>
      <w:spacing w:line="240" w:lineRule="auto"/>
    </w:pPr>
  </w:style>
  <w:style w:type="character" w:customStyle="1" w:styleId="E-mailSignatureChar">
    <w:name w:val="E-mail Signature Char"/>
    <w:basedOn w:val="DefaultParagraphFont"/>
    <w:link w:val="E-mailSignature"/>
    <w:uiPriority w:val="99"/>
    <w:semiHidden/>
    <w:rsid w:val="0003148D"/>
  </w:style>
  <w:style w:type="paragraph" w:styleId="Salutation">
    <w:name w:val="Salutation"/>
    <w:basedOn w:val="Normal"/>
    <w:next w:val="Normal"/>
    <w:link w:val="SalutationChar"/>
    <w:uiPriority w:val="99"/>
    <w:semiHidden/>
    <w:unhideWhenUsed/>
    <w:rsid w:val="0003148D"/>
  </w:style>
  <w:style w:type="character" w:customStyle="1" w:styleId="SalutationChar">
    <w:name w:val="Salutation Char"/>
    <w:basedOn w:val="DefaultParagraphFont"/>
    <w:link w:val="Salutation"/>
    <w:uiPriority w:val="99"/>
    <w:semiHidden/>
    <w:rsid w:val="0003148D"/>
  </w:style>
  <w:style w:type="paragraph" w:styleId="Closing">
    <w:name w:val="Closing"/>
    <w:basedOn w:val="Normal"/>
    <w:link w:val="ClosingChar"/>
    <w:uiPriority w:val="99"/>
    <w:semiHidden/>
    <w:unhideWhenUsed/>
    <w:rsid w:val="0003148D"/>
    <w:pPr>
      <w:spacing w:line="240" w:lineRule="auto"/>
      <w:ind w:left="4252"/>
    </w:pPr>
  </w:style>
  <w:style w:type="character" w:customStyle="1" w:styleId="ClosingChar">
    <w:name w:val="Closing Char"/>
    <w:basedOn w:val="DefaultParagraphFont"/>
    <w:link w:val="Closing"/>
    <w:uiPriority w:val="99"/>
    <w:semiHidden/>
    <w:rsid w:val="0003148D"/>
  </w:style>
  <w:style w:type="paragraph" w:styleId="Index1">
    <w:name w:val="index 1"/>
    <w:basedOn w:val="Normal"/>
    <w:next w:val="Normal"/>
    <w:autoRedefine/>
    <w:uiPriority w:val="99"/>
    <w:semiHidden/>
    <w:unhideWhenUsed/>
    <w:rsid w:val="0003148D"/>
    <w:pPr>
      <w:spacing w:line="240" w:lineRule="auto"/>
      <w:ind w:left="220" w:hanging="220"/>
    </w:pPr>
  </w:style>
  <w:style w:type="paragraph" w:styleId="Index2">
    <w:name w:val="index 2"/>
    <w:basedOn w:val="Normal"/>
    <w:next w:val="Normal"/>
    <w:autoRedefine/>
    <w:uiPriority w:val="99"/>
    <w:semiHidden/>
    <w:unhideWhenUsed/>
    <w:rsid w:val="0003148D"/>
    <w:pPr>
      <w:spacing w:line="240" w:lineRule="auto"/>
      <w:ind w:left="440" w:hanging="220"/>
    </w:pPr>
  </w:style>
  <w:style w:type="paragraph" w:styleId="Index3">
    <w:name w:val="index 3"/>
    <w:basedOn w:val="Normal"/>
    <w:next w:val="Normal"/>
    <w:autoRedefine/>
    <w:uiPriority w:val="99"/>
    <w:semiHidden/>
    <w:unhideWhenUsed/>
    <w:rsid w:val="0003148D"/>
    <w:pPr>
      <w:spacing w:line="240" w:lineRule="auto"/>
      <w:ind w:left="660" w:hanging="220"/>
    </w:pPr>
  </w:style>
  <w:style w:type="paragraph" w:styleId="Index4">
    <w:name w:val="index 4"/>
    <w:basedOn w:val="Normal"/>
    <w:next w:val="Normal"/>
    <w:autoRedefine/>
    <w:uiPriority w:val="99"/>
    <w:semiHidden/>
    <w:unhideWhenUsed/>
    <w:rsid w:val="0003148D"/>
    <w:pPr>
      <w:spacing w:line="240" w:lineRule="auto"/>
      <w:ind w:left="880" w:hanging="220"/>
    </w:pPr>
  </w:style>
  <w:style w:type="paragraph" w:styleId="Index5">
    <w:name w:val="index 5"/>
    <w:basedOn w:val="Normal"/>
    <w:next w:val="Normal"/>
    <w:autoRedefine/>
    <w:uiPriority w:val="99"/>
    <w:semiHidden/>
    <w:unhideWhenUsed/>
    <w:rsid w:val="0003148D"/>
    <w:pPr>
      <w:spacing w:line="240" w:lineRule="auto"/>
      <w:ind w:left="1100" w:hanging="220"/>
    </w:pPr>
  </w:style>
  <w:style w:type="paragraph" w:styleId="Index6">
    <w:name w:val="index 6"/>
    <w:basedOn w:val="Normal"/>
    <w:next w:val="Normal"/>
    <w:autoRedefine/>
    <w:uiPriority w:val="99"/>
    <w:semiHidden/>
    <w:unhideWhenUsed/>
    <w:rsid w:val="0003148D"/>
    <w:pPr>
      <w:spacing w:line="240" w:lineRule="auto"/>
      <w:ind w:left="1320" w:hanging="220"/>
    </w:pPr>
  </w:style>
  <w:style w:type="paragraph" w:styleId="Index7">
    <w:name w:val="index 7"/>
    <w:basedOn w:val="Normal"/>
    <w:next w:val="Normal"/>
    <w:autoRedefine/>
    <w:uiPriority w:val="99"/>
    <w:semiHidden/>
    <w:unhideWhenUsed/>
    <w:rsid w:val="0003148D"/>
    <w:pPr>
      <w:spacing w:line="240" w:lineRule="auto"/>
      <w:ind w:left="1540" w:hanging="220"/>
    </w:pPr>
  </w:style>
  <w:style w:type="paragraph" w:styleId="Index8">
    <w:name w:val="index 8"/>
    <w:basedOn w:val="Normal"/>
    <w:next w:val="Normal"/>
    <w:autoRedefine/>
    <w:uiPriority w:val="99"/>
    <w:semiHidden/>
    <w:unhideWhenUsed/>
    <w:rsid w:val="0003148D"/>
    <w:pPr>
      <w:spacing w:line="240" w:lineRule="auto"/>
      <w:ind w:left="1760" w:hanging="220"/>
    </w:pPr>
  </w:style>
  <w:style w:type="paragraph" w:styleId="Index9">
    <w:name w:val="index 9"/>
    <w:basedOn w:val="Normal"/>
    <w:next w:val="Normal"/>
    <w:autoRedefine/>
    <w:uiPriority w:val="99"/>
    <w:semiHidden/>
    <w:unhideWhenUsed/>
    <w:rsid w:val="0003148D"/>
    <w:pPr>
      <w:spacing w:line="240" w:lineRule="auto"/>
      <w:ind w:left="1980" w:hanging="220"/>
    </w:pPr>
  </w:style>
  <w:style w:type="paragraph" w:styleId="TableofFigures">
    <w:name w:val="table of figures"/>
    <w:basedOn w:val="Normal"/>
    <w:next w:val="Normal"/>
    <w:uiPriority w:val="99"/>
    <w:semiHidden/>
    <w:unhideWhenUsed/>
    <w:rsid w:val="0003148D"/>
  </w:style>
  <w:style w:type="paragraph" w:styleId="TableofAuthorities">
    <w:name w:val="table of authorities"/>
    <w:basedOn w:val="Normal"/>
    <w:next w:val="Normal"/>
    <w:uiPriority w:val="99"/>
    <w:semiHidden/>
    <w:unhideWhenUsed/>
    <w:rsid w:val="0003148D"/>
    <w:pPr>
      <w:ind w:left="220" w:hanging="220"/>
    </w:pPr>
  </w:style>
  <w:style w:type="paragraph" w:styleId="EnvelopeAddress">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HTMLAddress">
    <w:name w:val="HTML Address"/>
    <w:basedOn w:val="Normal"/>
    <w:link w:val="HTMLAddressChar"/>
    <w:uiPriority w:val="99"/>
    <w:semiHidden/>
    <w:unhideWhenUsed/>
    <w:rsid w:val="0003148D"/>
    <w:pPr>
      <w:spacing w:line="240" w:lineRule="auto"/>
    </w:pPr>
    <w:rPr>
      <w:i/>
      <w:iCs/>
    </w:rPr>
  </w:style>
  <w:style w:type="character" w:customStyle="1" w:styleId="HTMLAddressChar">
    <w:name w:val="HTML Address Char"/>
    <w:basedOn w:val="DefaultParagraphFont"/>
    <w:link w:val="HTMLAddress"/>
    <w:uiPriority w:val="99"/>
    <w:semiHidden/>
    <w:rsid w:val="0003148D"/>
    <w:rPr>
      <w:i/>
      <w:iCs/>
    </w:rPr>
  </w:style>
  <w:style w:type="paragraph" w:styleId="EnvelopeReturn">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MessageHeader">
    <w:name w:val="Message Header"/>
    <w:basedOn w:val="Normal"/>
    <w:link w:val="MessageHeaderCh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3148D"/>
    <w:rPr>
      <w:rFonts w:asciiTheme="majorHAnsi" w:eastAsiaTheme="majorEastAsia" w:hAnsiTheme="majorHAnsi" w:cstheme="majorBidi"/>
      <w:sz w:val="24"/>
      <w:szCs w:val="24"/>
      <w:shd w:val="pct20" w:color="auto" w:fill="auto"/>
    </w:rPr>
  </w:style>
  <w:style w:type="paragraph" w:styleId="NoteHeading">
    <w:name w:val="Note Heading"/>
    <w:basedOn w:val="Normal"/>
    <w:next w:val="Normal"/>
    <w:link w:val="NoteHeadingChar"/>
    <w:uiPriority w:val="99"/>
    <w:semiHidden/>
    <w:unhideWhenUsed/>
    <w:rsid w:val="0003148D"/>
    <w:pPr>
      <w:spacing w:line="240" w:lineRule="auto"/>
    </w:pPr>
  </w:style>
  <w:style w:type="character" w:customStyle="1" w:styleId="NoteHeadingChar">
    <w:name w:val="Note Heading Char"/>
    <w:basedOn w:val="DefaultParagraphFont"/>
    <w:link w:val="NoteHeading"/>
    <w:uiPriority w:val="99"/>
    <w:semiHidden/>
    <w:rsid w:val="0003148D"/>
  </w:style>
  <w:style w:type="paragraph" w:styleId="DocumentMap">
    <w:name w:val="Document Map"/>
    <w:basedOn w:val="Normal"/>
    <w:link w:val="DocumentMapChar"/>
    <w:uiPriority w:val="99"/>
    <w:semiHidden/>
    <w:unhideWhenUsed/>
    <w:rsid w:val="0003148D"/>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ListNumber">
    <w:name w:val="List Number"/>
    <w:basedOn w:val="Normal"/>
    <w:uiPriority w:val="99"/>
    <w:semiHidden/>
    <w:unhideWhenUsed/>
    <w:rsid w:val="0003148D"/>
    <w:pPr>
      <w:numPr>
        <w:numId w:val="2"/>
      </w:numPr>
      <w:contextualSpacing/>
    </w:pPr>
  </w:style>
  <w:style w:type="paragraph" w:styleId="ListNumber2">
    <w:name w:val="List Number 2"/>
    <w:basedOn w:val="Normal"/>
    <w:uiPriority w:val="99"/>
    <w:semiHidden/>
    <w:unhideWhenUsed/>
    <w:rsid w:val="0003148D"/>
    <w:pPr>
      <w:numPr>
        <w:numId w:val="3"/>
      </w:numPr>
      <w:contextualSpacing/>
    </w:pPr>
  </w:style>
  <w:style w:type="paragraph" w:styleId="ListNumber3">
    <w:name w:val="List Number 3"/>
    <w:basedOn w:val="Normal"/>
    <w:uiPriority w:val="99"/>
    <w:semiHidden/>
    <w:unhideWhenUsed/>
    <w:rsid w:val="0003148D"/>
    <w:pPr>
      <w:numPr>
        <w:numId w:val="4"/>
      </w:numPr>
      <w:contextualSpacing/>
    </w:pPr>
  </w:style>
  <w:style w:type="paragraph" w:styleId="ListNumber4">
    <w:name w:val="List Number 4"/>
    <w:basedOn w:val="Normal"/>
    <w:uiPriority w:val="99"/>
    <w:semiHidden/>
    <w:unhideWhenUsed/>
    <w:rsid w:val="0003148D"/>
    <w:pPr>
      <w:numPr>
        <w:numId w:val="5"/>
      </w:numPr>
      <w:contextualSpacing/>
    </w:pPr>
  </w:style>
  <w:style w:type="paragraph" w:styleId="ListNumber5">
    <w:name w:val="List Number 5"/>
    <w:basedOn w:val="Normal"/>
    <w:uiPriority w:val="99"/>
    <w:semiHidden/>
    <w:unhideWhenUsed/>
    <w:rsid w:val="0003148D"/>
    <w:pPr>
      <w:numPr>
        <w:numId w:val="6"/>
      </w:numPr>
      <w:contextualSpacing/>
    </w:pPr>
  </w:style>
  <w:style w:type="paragraph" w:styleId="HTMLPreformatted">
    <w:name w:val="HTML Preformatted"/>
    <w:basedOn w:val="Normal"/>
    <w:link w:val="HTMLPreformattedChar"/>
    <w:uiPriority w:val="99"/>
    <w:semiHidden/>
    <w:unhideWhenUsed/>
    <w:rsid w:val="0003148D"/>
    <w:pPr>
      <w:spacing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03148D"/>
    <w:rPr>
      <w:rFonts w:ascii="Consolas" w:hAnsi="Consolas" w:cs="Consolas"/>
      <w:sz w:val="20"/>
      <w:szCs w:val="20"/>
    </w:rPr>
  </w:style>
  <w:style w:type="paragraph" w:styleId="BodyTextFirstIndent">
    <w:name w:val="Body Text First Indent"/>
    <w:basedOn w:val="BodyText"/>
    <w:link w:val="BodyTextFirstIndentChar"/>
    <w:uiPriority w:val="99"/>
    <w:semiHidden/>
    <w:unhideWhenUsed/>
    <w:rsid w:val="0003148D"/>
    <w:pPr>
      <w:spacing w:after="200"/>
      <w:ind w:firstLine="360"/>
    </w:pPr>
  </w:style>
  <w:style w:type="character" w:customStyle="1" w:styleId="BodyTextFirstIndentChar">
    <w:name w:val="Body Text First Indent Char"/>
    <w:basedOn w:val="BodyTextChar"/>
    <w:link w:val="BodyTextFirstIndent"/>
    <w:uiPriority w:val="99"/>
    <w:semiHidden/>
    <w:rsid w:val="0003148D"/>
  </w:style>
  <w:style w:type="paragraph" w:styleId="BodyTextIndent">
    <w:name w:val="Body Text Indent"/>
    <w:basedOn w:val="Normal"/>
    <w:link w:val="BodyTextIndentChar"/>
    <w:uiPriority w:val="99"/>
    <w:semiHidden/>
    <w:unhideWhenUsed/>
    <w:rsid w:val="0003148D"/>
    <w:pPr>
      <w:spacing w:after="120"/>
      <w:ind w:left="283"/>
    </w:pPr>
  </w:style>
  <w:style w:type="character" w:customStyle="1" w:styleId="BodyTextIndentChar">
    <w:name w:val="Body Text Indent Char"/>
    <w:basedOn w:val="DefaultParagraphFont"/>
    <w:link w:val="BodyTextIndent"/>
    <w:uiPriority w:val="99"/>
    <w:semiHidden/>
    <w:rsid w:val="0003148D"/>
  </w:style>
  <w:style w:type="paragraph" w:styleId="BodyTextFirstIndent2">
    <w:name w:val="Body Text First Indent 2"/>
    <w:basedOn w:val="BodyTextIndent"/>
    <w:link w:val="BodyTextFirstIndent2Char"/>
    <w:uiPriority w:val="99"/>
    <w:semiHidden/>
    <w:unhideWhenUsed/>
    <w:rsid w:val="0003148D"/>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3148D"/>
  </w:style>
  <w:style w:type="paragraph" w:styleId="ListBullet">
    <w:name w:val="List Bullet"/>
    <w:basedOn w:val="Normal"/>
    <w:uiPriority w:val="99"/>
    <w:semiHidden/>
    <w:unhideWhenUsed/>
    <w:rsid w:val="0003148D"/>
    <w:pPr>
      <w:numPr>
        <w:numId w:val="7"/>
      </w:numPr>
      <w:contextualSpacing/>
    </w:pPr>
  </w:style>
  <w:style w:type="paragraph" w:styleId="ListBullet2">
    <w:name w:val="List Bullet 2"/>
    <w:basedOn w:val="Normal"/>
    <w:uiPriority w:val="99"/>
    <w:semiHidden/>
    <w:unhideWhenUsed/>
    <w:rsid w:val="0003148D"/>
    <w:pPr>
      <w:numPr>
        <w:numId w:val="8"/>
      </w:numPr>
      <w:contextualSpacing/>
    </w:pPr>
  </w:style>
  <w:style w:type="paragraph" w:styleId="ListBullet3">
    <w:name w:val="List Bullet 3"/>
    <w:basedOn w:val="Normal"/>
    <w:uiPriority w:val="99"/>
    <w:semiHidden/>
    <w:unhideWhenUsed/>
    <w:rsid w:val="0003148D"/>
    <w:pPr>
      <w:numPr>
        <w:numId w:val="9"/>
      </w:numPr>
      <w:contextualSpacing/>
    </w:pPr>
  </w:style>
  <w:style w:type="paragraph" w:styleId="ListBullet4">
    <w:name w:val="List Bullet 4"/>
    <w:basedOn w:val="Normal"/>
    <w:uiPriority w:val="99"/>
    <w:semiHidden/>
    <w:unhideWhenUsed/>
    <w:rsid w:val="0003148D"/>
    <w:pPr>
      <w:numPr>
        <w:numId w:val="10"/>
      </w:numPr>
      <w:contextualSpacing/>
    </w:pPr>
  </w:style>
  <w:style w:type="paragraph" w:styleId="ListBullet5">
    <w:name w:val="List Bullet 5"/>
    <w:basedOn w:val="Normal"/>
    <w:uiPriority w:val="99"/>
    <w:semiHidden/>
    <w:unhideWhenUsed/>
    <w:rsid w:val="0003148D"/>
    <w:pPr>
      <w:numPr>
        <w:numId w:val="11"/>
      </w:numPr>
      <w:contextualSpacing/>
    </w:pPr>
  </w:style>
  <w:style w:type="paragraph" w:styleId="BodyTextIndent2">
    <w:name w:val="Body Text Indent 2"/>
    <w:basedOn w:val="Normal"/>
    <w:link w:val="BodyTextIndent2Char"/>
    <w:uiPriority w:val="99"/>
    <w:semiHidden/>
    <w:unhideWhenUsed/>
    <w:rsid w:val="0003148D"/>
    <w:pPr>
      <w:spacing w:after="120" w:line="480" w:lineRule="auto"/>
      <w:ind w:left="283"/>
    </w:pPr>
  </w:style>
  <w:style w:type="character" w:customStyle="1" w:styleId="BodyTextIndent2Char">
    <w:name w:val="Body Text Indent 2 Char"/>
    <w:basedOn w:val="DefaultParagraphFont"/>
    <w:link w:val="BodyTextIndent2"/>
    <w:uiPriority w:val="99"/>
    <w:semiHidden/>
    <w:rsid w:val="0003148D"/>
  </w:style>
  <w:style w:type="paragraph" w:styleId="BodyTextIndent3">
    <w:name w:val="Body Text Indent 3"/>
    <w:basedOn w:val="Normal"/>
    <w:link w:val="BodyTextIndent3Char"/>
    <w:uiPriority w:val="99"/>
    <w:semiHidden/>
    <w:unhideWhenUsed/>
    <w:rsid w:val="000314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3148D"/>
    <w:rPr>
      <w:sz w:val="16"/>
      <w:szCs w:val="16"/>
    </w:rPr>
  </w:style>
  <w:style w:type="paragraph" w:styleId="NormalIndent">
    <w:name w:val="Normal Indent"/>
    <w:basedOn w:val="Normal"/>
    <w:uiPriority w:val="99"/>
    <w:semiHidden/>
    <w:unhideWhenUsed/>
    <w:rsid w:val="0003148D"/>
    <w:pPr>
      <w:ind w:left="720"/>
    </w:pPr>
  </w:style>
  <w:style w:type="paragraph" w:styleId="CommentText">
    <w:name w:val="annotation text"/>
    <w:basedOn w:val="Normal"/>
    <w:link w:val="CommentTextChar"/>
    <w:uiPriority w:val="99"/>
    <w:unhideWhenUsed/>
    <w:rsid w:val="0003148D"/>
    <w:pPr>
      <w:spacing w:line="240" w:lineRule="auto"/>
    </w:pPr>
  </w:style>
  <w:style w:type="character" w:customStyle="1" w:styleId="CommentTextChar">
    <w:name w:val="Comment Text Char"/>
    <w:basedOn w:val="DefaultParagraphFont"/>
    <w:link w:val="CommentText"/>
    <w:uiPriority w:val="99"/>
    <w:rsid w:val="0003148D"/>
    <w:rPr>
      <w:sz w:val="20"/>
      <w:szCs w:val="20"/>
    </w:rPr>
  </w:style>
  <w:style w:type="paragraph" w:styleId="CommentSubject">
    <w:name w:val="annotation subject"/>
    <w:basedOn w:val="CommentText"/>
    <w:next w:val="CommentText"/>
    <w:link w:val="CommentSubjectChar"/>
    <w:uiPriority w:val="99"/>
    <w:semiHidden/>
    <w:unhideWhenUsed/>
    <w:rsid w:val="0003148D"/>
    <w:rPr>
      <w:b/>
      <w:bCs/>
    </w:rPr>
  </w:style>
  <w:style w:type="character" w:customStyle="1" w:styleId="CommentSubjectChar">
    <w:name w:val="Comment Subject Char"/>
    <w:basedOn w:val="CommentTextChar"/>
    <w:link w:val="CommentSubject"/>
    <w:uiPriority w:val="99"/>
    <w:semiHidden/>
    <w:rsid w:val="0003148D"/>
    <w:rPr>
      <w:b/>
      <w:bCs/>
      <w:sz w:val="20"/>
      <w:szCs w:val="20"/>
    </w:rPr>
  </w:style>
  <w:style w:type="paragraph" w:styleId="TOC1">
    <w:name w:val="toc 1"/>
    <w:basedOn w:val="Normal"/>
    <w:next w:val="Normal"/>
    <w:autoRedefine/>
    <w:uiPriority w:val="39"/>
    <w:semiHidden/>
    <w:unhideWhenUsed/>
    <w:rsid w:val="0003148D"/>
    <w:pPr>
      <w:spacing w:after="100"/>
    </w:pPr>
  </w:style>
  <w:style w:type="paragraph" w:styleId="TOC2">
    <w:name w:val="toc 2"/>
    <w:basedOn w:val="Normal"/>
    <w:next w:val="Normal"/>
    <w:autoRedefine/>
    <w:uiPriority w:val="39"/>
    <w:semiHidden/>
    <w:unhideWhenUsed/>
    <w:rsid w:val="0003148D"/>
    <w:pPr>
      <w:spacing w:after="100"/>
      <w:ind w:left="220"/>
    </w:pPr>
  </w:style>
  <w:style w:type="paragraph" w:styleId="TOC3">
    <w:name w:val="toc 3"/>
    <w:basedOn w:val="Normal"/>
    <w:next w:val="Normal"/>
    <w:autoRedefine/>
    <w:uiPriority w:val="39"/>
    <w:semiHidden/>
    <w:unhideWhenUsed/>
    <w:rsid w:val="0003148D"/>
    <w:pPr>
      <w:spacing w:after="100"/>
      <w:ind w:left="440"/>
    </w:pPr>
  </w:style>
  <w:style w:type="paragraph" w:styleId="TOC4">
    <w:name w:val="toc 4"/>
    <w:basedOn w:val="Normal"/>
    <w:next w:val="Normal"/>
    <w:autoRedefine/>
    <w:uiPriority w:val="39"/>
    <w:semiHidden/>
    <w:unhideWhenUsed/>
    <w:rsid w:val="0003148D"/>
    <w:pPr>
      <w:spacing w:after="100"/>
      <w:ind w:left="660"/>
    </w:pPr>
  </w:style>
  <w:style w:type="paragraph" w:styleId="TOC5">
    <w:name w:val="toc 5"/>
    <w:basedOn w:val="Normal"/>
    <w:next w:val="Normal"/>
    <w:autoRedefine/>
    <w:uiPriority w:val="39"/>
    <w:semiHidden/>
    <w:unhideWhenUsed/>
    <w:rsid w:val="0003148D"/>
    <w:pPr>
      <w:spacing w:after="100"/>
      <w:ind w:left="880"/>
    </w:pPr>
  </w:style>
  <w:style w:type="paragraph" w:styleId="TOC6">
    <w:name w:val="toc 6"/>
    <w:basedOn w:val="Normal"/>
    <w:next w:val="Normal"/>
    <w:autoRedefine/>
    <w:uiPriority w:val="39"/>
    <w:semiHidden/>
    <w:unhideWhenUsed/>
    <w:rsid w:val="0003148D"/>
    <w:pPr>
      <w:spacing w:after="100"/>
      <w:ind w:left="1100"/>
    </w:pPr>
  </w:style>
  <w:style w:type="paragraph" w:styleId="TOC7">
    <w:name w:val="toc 7"/>
    <w:basedOn w:val="Normal"/>
    <w:next w:val="Normal"/>
    <w:autoRedefine/>
    <w:uiPriority w:val="39"/>
    <w:semiHidden/>
    <w:unhideWhenUsed/>
    <w:rsid w:val="0003148D"/>
    <w:pPr>
      <w:spacing w:after="100"/>
      <w:ind w:left="1320"/>
    </w:pPr>
  </w:style>
  <w:style w:type="paragraph" w:styleId="TOC8">
    <w:name w:val="toc 8"/>
    <w:basedOn w:val="Normal"/>
    <w:next w:val="Normal"/>
    <w:autoRedefine/>
    <w:uiPriority w:val="39"/>
    <w:semiHidden/>
    <w:unhideWhenUsed/>
    <w:rsid w:val="0003148D"/>
    <w:pPr>
      <w:spacing w:after="100"/>
      <w:ind w:left="1540"/>
    </w:pPr>
  </w:style>
  <w:style w:type="paragraph" w:styleId="TOC9">
    <w:name w:val="toc 9"/>
    <w:basedOn w:val="Normal"/>
    <w:next w:val="Normal"/>
    <w:autoRedefine/>
    <w:uiPriority w:val="39"/>
    <w:semiHidden/>
    <w:unhideWhenUsed/>
    <w:rsid w:val="0003148D"/>
    <w:pPr>
      <w:spacing w:after="100"/>
      <w:ind w:left="1760"/>
    </w:pPr>
  </w:style>
  <w:style w:type="paragraph" w:styleId="BlockText">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MacroText">
    <w:name w:val="macro"/>
    <w:link w:val="MacroTextCh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03148D"/>
    <w:rPr>
      <w:rFonts w:ascii="Consolas" w:hAnsi="Consolas" w:cs="Consolas"/>
      <w:sz w:val="20"/>
      <w:szCs w:val="20"/>
    </w:rPr>
  </w:style>
  <w:style w:type="paragraph" w:styleId="PlainText">
    <w:name w:val="Plain Text"/>
    <w:basedOn w:val="Normal"/>
    <w:link w:val="PlainTextChar"/>
    <w:uiPriority w:val="99"/>
    <w:semiHidden/>
    <w:unhideWhenUsed/>
    <w:rsid w:val="0003148D"/>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3148D"/>
    <w:rPr>
      <w:rFonts w:ascii="Consolas" w:hAnsi="Consolas" w:cs="Consolas"/>
      <w:sz w:val="21"/>
      <w:szCs w:val="21"/>
    </w:rPr>
  </w:style>
  <w:style w:type="paragraph" w:styleId="FootnoteText">
    <w:name w:val="footnote text"/>
    <w:basedOn w:val="Normal"/>
    <w:link w:val="FootnoteTextChar"/>
    <w:uiPriority w:val="99"/>
    <w:semiHidden/>
    <w:unhideWhenUsed/>
    <w:rsid w:val="0003148D"/>
    <w:pPr>
      <w:spacing w:line="240" w:lineRule="auto"/>
    </w:pPr>
  </w:style>
  <w:style w:type="character" w:customStyle="1" w:styleId="FootnoteTextChar">
    <w:name w:val="Footnote Text Char"/>
    <w:basedOn w:val="DefaultParagraphFont"/>
    <w:link w:val="FootnoteText"/>
    <w:uiPriority w:val="99"/>
    <w:semiHidden/>
    <w:rsid w:val="0003148D"/>
    <w:rPr>
      <w:sz w:val="20"/>
      <w:szCs w:val="20"/>
    </w:rPr>
  </w:style>
  <w:style w:type="paragraph" w:styleId="EndnoteText">
    <w:name w:val="endnote text"/>
    <w:basedOn w:val="Normal"/>
    <w:link w:val="EndnoteTextChar"/>
    <w:uiPriority w:val="99"/>
    <w:semiHidden/>
    <w:unhideWhenUsed/>
    <w:rsid w:val="0003148D"/>
    <w:pPr>
      <w:spacing w:line="240" w:lineRule="auto"/>
    </w:pPr>
  </w:style>
  <w:style w:type="character" w:customStyle="1" w:styleId="EndnoteTextChar">
    <w:name w:val="Endnote Text Char"/>
    <w:basedOn w:val="DefaultParagraphFont"/>
    <w:link w:val="EndnoteText"/>
    <w:uiPriority w:val="99"/>
    <w:semiHidden/>
    <w:rsid w:val="0003148D"/>
    <w:rPr>
      <w:sz w:val="20"/>
      <w:szCs w:val="20"/>
    </w:rPr>
  </w:style>
  <w:style w:type="character" w:customStyle="1" w:styleId="Heading1Char">
    <w:name w:val="Heading 1 Char"/>
    <w:basedOn w:val="DefaultParagraphFont"/>
    <w:link w:val="Heading1"/>
    <w:uiPriority w:val="9"/>
    <w:rsid w:val="004F5E36"/>
    <w:rPr>
      <w:rFonts w:ascii="Arial" w:eastAsia="Times New Roman" w:hAnsi="Arial" w:cs="Times New Roman"/>
      <w:b/>
      <w:sz w:val="20"/>
      <w:szCs w:val="20"/>
      <w:lang w:val="en-GB"/>
    </w:rPr>
  </w:style>
  <w:style w:type="character" w:customStyle="1" w:styleId="Heading2Char">
    <w:name w:val="Heading 2 Char"/>
    <w:basedOn w:val="DefaultParagraphFont"/>
    <w:link w:val="Heading2"/>
    <w:uiPriority w:val="9"/>
    <w:semiHidden/>
    <w:rsid w:val="0003148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3148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3148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3148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3148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3148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3148D"/>
    <w:rPr>
      <w:rFonts w:asciiTheme="majorHAnsi" w:eastAsiaTheme="majorEastAsia" w:hAnsiTheme="majorHAnsi" w:cstheme="majorBidi"/>
      <w:i/>
      <w:iCs/>
      <w:color w:val="404040" w:themeColor="text1" w:themeTint="BF"/>
      <w:sz w:val="20"/>
      <w:szCs w:val="20"/>
    </w:rPr>
  </w:style>
  <w:style w:type="paragraph" w:styleId="IndexHeading">
    <w:name w:val="index heading"/>
    <w:basedOn w:val="Normal"/>
    <w:next w:val="Index1"/>
    <w:uiPriority w:val="99"/>
    <w:semiHidden/>
    <w:unhideWhenUsed/>
    <w:rsid w:val="0003148D"/>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DefaultParagraphFont"/>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Header">
    <w:name w:val="header"/>
    <w:basedOn w:val="Normal"/>
    <w:link w:val="HeaderChar"/>
    <w:uiPriority w:val="99"/>
    <w:unhideWhenUsed/>
    <w:rsid w:val="005278B7"/>
    <w:pPr>
      <w:tabs>
        <w:tab w:val="clear" w:pos="7100"/>
        <w:tab w:val="center" w:pos="4819"/>
        <w:tab w:val="right" w:pos="9638"/>
      </w:tabs>
      <w:spacing w:line="240" w:lineRule="auto"/>
    </w:pPr>
  </w:style>
  <w:style w:type="character" w:customStyle="1" w:styleId="HeaderChar">
    <w:name w:val="Header Char"/>
    <w:basedOn w:val="DefaultParagraphFont"/>
    <w:link w:val="Header"/>
    <w:uiPriority w:val="99"/>
    <w:rsid w:val="005278B7"/>
    <w:rPr>
      <w:rFonts w:ascii="Arial" w:eastAsia="Times New Roman" w:hAnsi="Arial" w:cs="Times New Roman"/>
      <w:sz w:val="18"/>
      <w:szCs w:val="20"/>
      <w:lang w:val="en-GB"/>
    </w:rPr>
  </w:style>
  <w:style w:type="paragraph" w:styleId="Footer">
    <w:name w:val="footer"/>
    <w:basedOn w:val="Normal"/>
    <w:link w:val="FooterChar"/>
    <w:uiPriority w:val="99"/>
    <w:unhideWhenUsed/>
    <w:rsid w:val="005278B7"/>
    <w:pPr>
      <w:tabs>
        <w:tab w:val="clear" w:pos="7100"/>
        <w:tab w:val="center" w:pos="4819"/>
        <w:tab w:val="right" w:pos="9638"/>
      </w:tabs>
      <w:spacing w:line="240" w:lineRule="auto"/>
    </w:pPr>
  </w:style>
  <w:style w:type="character" w:customStyle="1" w:styleId="FooterChar">
    <w:name w:val="Footer Char"/>
    <w:basedOn w:val="DefaultParagraphFont"/>
    <w:link w:val="Footer"/>
    <w:uiPriority w:val="99"/>
    <w:rsid w:val="005278B7"/>
    <w:rPr>
      <w:rFonts w:ascii="Arial" w:eastAsia="Times New Roman" w:hAnsi="Arial" w:cs="Times New Roman"/>
      <w:sz w:val="18"/>
      <w:szCs w:val="20"/>
      <w:lang w:val="en-GB"/>
    </w:rPr>
  </w:style>
  <w:style w:type="table" w:styleId="TableGrid">
    <w:name w:val="Table Grid"/>
    <w:basedOn w:val="TableNormal"/>
    <w:uiPriority w:val="3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4C62"/>
    <w:rPr>
      <w:color w:val="0000FF" w:themeColor="hyperlink"/>
      <w:u w:val="single"/>
    </w:rPr>
  </w:style>
  <w:style w:type="character" w:customStyle="1" w:styleId="eudoraheader">
    <w:name w:val="eudoraheader"/>
    <w:basedOn w:val="DefaultParagraphFont"/>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ListParagraph">
    <w:name w:val="List Paragraph"/>
    <w:basedOn w:val="Normal"/>
    <w:uiPriority w:val="34"/>
    <w:rsid w:val="00280FAF"/>
    <w:pPr>
      <w:ind w:left="720"/>
      <w:contextualSpacing/>
    </w:pPr>
  </w:style>
  <w:style w:type="character" w:customStyle="1" w:styleId="gmail-apple-converted-space">
    <w:name w:val="gmail-apple-converted-space"/>
    <w:basedOn w:val="DefaultParagraphFont"/>
    <w:rsid w:val="00005A19"/>
  </w:style>
  <w:style w:type="character" w:styleId="UnresolvedMention">
    <w:name w:val="Unresolved Mention"/>
    <w:basedOn w:val="DefaultParagraphFont"/>
    <w:uiPriority w:val="99"/>
    <w:semiHidden/>
    <w:unhideWhenUsed/>
    <w:rsid w:val="006A164C"/>
    <w:rPr>
      <w:color w:val="605E5C"/>
      <w:shd w:val="clear" w:color="auto" w:fill="E1DFDD"/>
    </w:rPr>
  </w:style>
  <w:style w:type="table" w:styleId="PlainTable2">
    <w:name w:val="Plain Table 2"/>
    <w:basedOn w:val="TableNormal"/>
    <w:uiPriority w:val="42"/>
    <w:rsid w:val="0065318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4510">
      <w:bodyDiv w:val="1"/>
      <w:marLeft w:val="0"/>
      <w:marRight w:val="0"/>
      <w:marTop w:val="0"/>
      <w:marBottom w:val="0"/>
      <w:divBdr>
        <w:top w:val="none" w:sz="0" w:space="0" w:color="auto"/>
        <w:left w:val="none" w:sz="0" w:space="0" w:color="auto"/>
        <w:bottom w:val="none" w:sz="0" w:space="0" w:color="auto"/>
        <w:right w:val="none" w:sz="0" w:space="0" w:color="auto"/>
      </w:divBdr>
    </w:div>
    <w:div w:id="111096555">
      <w:bodyDiv w:val="1"/>
      <w:marLeft w:val="0"/>
      <w:marRight w:val="0"/>
      <w:marTop w:val="0"/>
      <w:marBottom w:val="0"/>
      <w:divBdr>
        <w:top w:val="none" w:sz="0" w:space="0" w:color="auto"/>
        <w:left w:val="none" w:sz="0" w:space="0" w:color="auto"/>
        <w:bottom w:val="none" w:sz="0" w:space="0" w:color="auto"/>
        <w:right w:val="none" w:sz="0" w:space="0" w:color="auto"/>
      </w:divBdr>
    </w:div>
    <w:div w:id="111561505">
      <w:bodyDiv w:val="1"/>
      <w:marLeft w:val="0"/>
      <w:marRight w:val="0"/>
      <w:marTop w:val="0"/>
      <w:marBottom w:val="0"/>
      <w:divBdr>
        <w:top w:val="none" w:sz="0" w:space="0" w:color="auto"/>
        <w:left w:val="none" w:sz="0" w:space="0" w:color="auto"/>
        <w:bottom w:val="none" w:sz="0" w:space="0" w:color="auto"/>
        <w:right w:val="none" w:sz="0" w:space="0" w:color="auto"/>
      </w:divBdr>
    </w:div>
    <w:div w:id="356349666">
      <w:bodyDiv w:val="1"/>
      <w:marLeft w:val="0"/>
      <w:marRight w:val="0"/>
      <w:marTop w:val="0"/>
      <w:marBottom w:val="0"/>
      <w:divBdr>
        <w:top w:val="none" w:sz="0" w:space="0" w:color="auto"/>
        <w:left w:val="none" w:sz="0" w:space="0" w:color="auto"/>
        <w:bottom w:val="none" w:sz="0" w:space="0" w:color="auto"/>
        <w:right w:val="none" w:sz="0" w:space="0" w:color="auto"/>
      </w:divBdr>
    </w:div>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226194">
      <w:bodyDiv w:val="1"/>
      <w:marLeft w:val="0"/>
      <w:marRight w:val="0"/>
      <w:marTop w:val="0"/>
      <w:marBottom w:val="0"/>
      <w:divBdr>
        <w:top w:val="none" w:sz="0" w:space="0" w:color="auto"/>
        <w:left w:val="none" w:sz="0" w:space="0" w:color="auto"/>
        <w:bottom w:val="none" w:sz="0" w:space="0" w:color="auto"/>
        <w:right w:val="none" w:sz="0" w:space="0" w:color="auto"/>
      </w:divBdr>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5388676">
      <w:bodyDiv w:val="1"/>
      <w:marLeft w:val="0"/>
      <w:marRight w:val="0"/>
      <w:marTop w:val="0"/>
      <w:marBottom w:val="0"/>
      <w:divBdr>
        <w:top w:val="none" w:sz="0" w:space="0" w:color="auto"/>
        <w:left w:val="none" w:sz="0" w:space="0" w:color="auto"/>
        <w:bottom w:val="none" w:sz="0" w:space="0" w:color="auto"/>
        <w:right w:val="none" w:sz="0" w:space="0" w:color="auto"/>
      </w:divBdr>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72041">
      <w:bodyDiv w:val="1"/>
      <w:marLeft w:val="0"/>
      <w:marRight w:val="0"/>
      <w:marTop w:val="0"/>
      <w:marBottom w:val="0"/>
      <w:divBdr>
        <w:top w:val="none" w:sz="0" w:space="0" w:color="auto"/>
        <w:left w:val="none" w:sz="0" w:space="0" w:color="auto"/>
        <w:bottom w:val="none" w:sz="0" w:space="0" w:color="auto"/>
        <w:right w:val="none" w:sz="0" w:space="0" w:color="auto"/>
      </w:divBdr>
    </w:div>
    <w:div w:id="1167790528">
      <w:bodyDiv w:val="1"/>
      <w:marLeft w:val="0"/>
      <w:marRight w:val="0"/>
      <w:marTop w:val="0"/>
      <w:marBottom w:val="0"/>
      <w:divBdr>
        <w:top w:val="none" w:sz="0" w:space="0" w:color="auto"/>
        <w:left w:val="none" w:sz="0" w:space="0" w:color="auto"/>
        <w:bottom w:val="none" w:sz="0" w:space="0" w:color="auto"/>
        <w:right w:val="none" w:sz="0" w:space="0" w:color="auto"/>
      </w:divBdr>
    </w:div>
    <w:div w:id="1227758283">
      <w:bodyDiv w:val="1"/>
      <w:marLeft w:val="0"/>
      <w:marRight w:val="0"/>
      <w:marTop w:val="0"/>
      <w:marBottom w:val="0"/>
      <w:divBdr>
        <w:top w:val="none" w:sz="0" w:space="0" w:color="auto"/>
        <w:left w:val="none" w:sz="0" w:space="0" w:color="auto"/>
        <w:bottom w:val="none" w:sz="0" w:space="0" w:color="auto"/>
        <w:right w:val="none" w:sz="0" w:space="0" w:color="auto"/>
      </w:divBdr>
    </w:div>
    <w:div w:id="1266421742">
      <w:bodyDiv w:val="1"/>
      <w:marLeft w:val="0"/>
      <w:marRight w:val="0"/>
      <w:marTop w:val="0"/>
      <w:marBottom w:val="0"/>
      <w:divBdr>
        <w:top w:val="none" w:sz="0" w:space="0" w:color="auto"/>
        <w:left w:val="none" w:sz="0" w:space="0" w:color="auto"/>
        <w:bottom w:val="none" w:sz="0" w:space="0" w:color="auto"/>
        <w:right w:val="none" w:sz="0" w:space="0" w:color="auto"/>
      </w:divBdr>
    </w:div>
    <w:div w:id="1368064460">
      <w:bodyDiv w:val="1"/>
      <w:marLeft w:val="0"/>
      <w:marRight w:val="0"/>
      <w:marTop w:val="0"/>
      <w:marBottom w:val="0"/>
      <w:divBdr>
        <w:top w:val="none" w:sz="0" w:space="0" w:color="auto"/>
        <w:left w:val="none" w:sz="0" w:space="0" w:color="auto"/>
        <w:bottom w:val="none" w:sz="0" w:space="0" w:color="auto"/>
        <w:right w:val="none" w:sz="0" w:space="0" w:color="auto"/>
      </w:divBdr>
    </w:div>
    <w:div w:id="1409814135">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61690841">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91600">
      <w:bodyDiv w:val="1"/>
      <w:marLeft w:val="0"/>
      <w:marRight w:val="0"/>
      <w:marTop w:val="0"/>
      <w:marBottom w:val="0"/>
      <w:divBdr>
        <w:top w:val="none" w:sz="0" w:space="0" w:color="auto"/>
        <w:left w:val="none" w:sz="0" w:space="0" w:color="auto"/>
        <w:bottom w:val="none" w:sz="0" w:space="0" w:color="auto"/>
        <w:right w:val="none" w:sz="0" w:space="0" w:color="auto"/>
      </w:divBdr>
    </w:div>
    <w:div w:id="1945838206">
      <w:bodyDiv w:val="1"/>
      <w:marLeft w:val="0"/>
      <w:marRight w:val="0"/>
      <w:marTop w:val="0"/>
      <w:marBottom w:val="0"/>
      <w:divBdr>
        <w:top w:val="none" w:sz="0" w:space="0" w:color="auto"/>
        <w:left w:val="none" w:sz="0" w:space="0" w:color="auto"/>
        <w:bottom w:val="none" w:sz="0" w:space="0" w:color="auto"/>
        <w:right w:val="none" w:sz="0" w:space="0" w:color="auto"/>
      </w:divBdr>
    </w:div>
    <w:div w:id="2010283874">
      <w:bodyDiv w:val="1"/>
      <w:marLeft w:val="0"/>
      <w:marRight w:val="0"/>
      <w:marTop w:val="0"/>
      <w:marBottom w:val="0"/>
      <w:divBdr>
        <w:top w:val="none" w:sz="0" w:space="0" w:color="auto"/>
        <w:left w:val="none" w:sz="0" w:space="0" w:color="auto"/>
        <w:bottom w:val="none" w:sz="0" w:space="0" w:color="auto"/>
        <w:right w:val="none" w:sz="0" w:space="0" w:color="auto"/>
      </w:divBdr>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823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arlo.adamo@chimieparistech.psl.eu" TargetMode="External"/><Relationship Id="rId18"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rank.jacquier@ge.com"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ristophe.coquelet@mines-albi.fr" TargetMode="External"/><Relationship Id="rId5" Type="http://schemas.openxmlformats.org/officeDocument/2006/relationships/webSettings" Target="webSettings.xml"/><Relationship Id="rId15" Type="http://schemas.openxmlformats.org/officeDocument/2006/relationships/hyperlink" Target="mailto:rachel.calvet@mines-albi.fr" TargetMode="External"/><Relationship Id="rId10" Type="http://schemas.openxmlformats.org/officeDocument/2006/relationships/hyperlink" Target="mailto:muhammad.arif@mines-albi.f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Maxime.LACUVE@ge.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6</Pages>
  <Words>9892</Words>
  <Characters>54408</Characters>
  <Application>Microsoft Office Word</Application>
  <DocSecurity>0</DocSecurity>
  <Lines>453</Lines>
  <Paragraphs>128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Dipartimento CMIC - Politecnico di Milano</Company>
  <LinksUpToDate>false</LinksUpToDate>
  <CharactersWithSpaces>64172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Arif, Muhammad Bilal (GE Vernova)</cp:lastModifiedBy>
  <cp:revision>79</cp:revision>
  <cp:lastPrinted>2015-05-12T18:31:00Z</cp:lastPrinted>
  <dcterms:created xsi:type="dcterms:W3CDTF">2024-02-20T10:29:00Z</dcterms:created>
  <dcterms:modified xsi:type="dcterms:W3CDTF">2024-12-09T12:53:00Z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y fmtid="{D5CDD505-2E9C-101B-9397-08002B2CF9AE}" pid="4" name="Mendeley Document_1">
    <vt:lpwstr>True</vt:lpwstr>
  </property>
  <property fmtid="{D5CDD505-2E9C-101B-9397-08002B2CF9AE}" pid="5" name="Mendeley Unique User Id_1">
    <vt:lpwstr>07e119dc-12a9-3f4f-96d5-46fe161e69af</vt:lpwstr>
  </property>
  <property fmtid="{D5CDD505-2E9C-101B-9397-08002B2CF9AE}" pid="6" name="Mendeley Citation Style_1">
    <vt:lpwstr>http://www.zotero.org/styles/harvard-cite-them-right</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 11th edition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7th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American Sociological Association 6th edition</vt:lpwstr>
  </property>
  <property fmtid="{D5CDD505-2E9C-101B-9397-08002B2CF9AE}" pid="15" name="Mendeley Recent Style Id 4_1">
    <vt:lpwstr>http://www.zotero.org/styles/chicago-author-date</vt:lpwstr>
  </property>
  <property fmtid="{D5CDD505-2E9C-101B-9397-08002B2CF9AE}" pid="16" name="Mendeley Recent Style Name 4_1">
    <vt:lpwstr>Chicago Manual of Style 17th edition (author-date)</vt:lpwstr>
  </property>
  <property fmtid="{D5CDD505-2E9C-101B-9397-08002B2CF9AE}" pid="17" name="Mendeley Recent Style Id 5_1">
    <vt:lpwstr>http://www.zotero.org/styles/harvard-cite-them-right</vt:lpwstr>
  </property>
  <property fmtid="{D5CDD505-2E9C-101B-9397-08002B2CF9AE}" pid="18" name="Mendeley Recent Style Name 5_1">
    <vt:lpwstr>Cite Them Right 12th edition - Harvard</vt:lpwstr>
  </property>
  <property fmtid="{D5CDD505-2E9C-101B-9397-08002B2CF9AE}" pid="19" name="Mendeley Recent Style Id 6_1">
    <vt:lpwstr>http://www.zotero.org/styles/ieee</vt:lpwstr>
  </property>
  <property fmtid="{D5CDD505-2E9C-101B-9397-08002B2CF9AE}" pid="20" name="Mendeley Recent Style Name 6_1">
    <vt:lpwstr>IEEE</vt:lpwstr>
  </property>
  <property fmtid="{D5CDD505-2E9C-101B-9397-08002B2CF9AE}" pid="21" name="Mendeley Recent Style Id 7_1">
    <vt:lpwstr>http://www.zotero.org/styles/modern-humanities-research-association</vt:lpwstr>
  </property>
  <property fmtid="{D5CDD505-2E9C-101B-9397-08002B2CF9AE}" pid="22" name="Mendeley Recent Style Name 7_1">
    <vt:lpwstr>Modern Humanities Research Association 3rd edition (note with bibliography)</vt:lpwstr>
  </property>
  <property fmtid="{D5CDD505-2E9C-101B-9397-08002B2CF9AE}" pid="23" name="Mendeley Recent Style Id 8_1">
    <vt:lpwstr>http://www.zotero.org/styles/modern-language-association</vt:lpwstr>
  </property>
  <property fmtid="{D5CDD505-2E9C-101B-9397-08002B2CF9AE}" pid="24" name="Mendeley Recent Style Name 8_1">
    <vt:lpwstr>Modern Language Association 9th edition</vt:lpwstr>
  </property>
  <property fmtid="{D5CDD505-2E9C-101B-9397-08002B2CF9AE}" pid="25" name="Mendeley Recent Style Id 9_1">
    <vt:lpwstr>http://www.zotero.org/styles/nature</vt:lpwstr>
  </property>
  <property fmtid="{D5CDD505-2E9C-101B-9397-08002B2CF9AE}" pid="26" name="Mendeley Recent Style Name 9_1">
    <vt:lpwstr>Nature</vt:lpwstr>
  </property>
</Properties>
</file>